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17</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17</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04</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15</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92</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1</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18</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92</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w:t>
            </w:r>
            <w:r>
              <w:rPr>
                <w:rFonts w:hint="eastAsia" w:ascii="楷体" w:hAnsi="楷体" w:eastAsia="楷体" w:cs="楷体"/>
                <w:position w:val="-2"/>
                <w:sz w:val="24"/>
                <w:lang w:val="en-US" w:eastAsia="zh-CN"/>
              </w:rPr>
              <w:t>1.00</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w:t>
            </w:r>
            <w:r>
              <w:rPr>
                <w:rFonts w:hint="eastAsia" w:ascii="楷体" w:hAnsi="楷体" w:eastAsia="楷体" w:cs="楷体"/>
                <w:position w:val="-2"/>
                <w:sz w:val="24"/>
                <w:lang w:val="en-US" w:eastAsia="zh-CN"/>
              </w:rPr>
              <w:t>1.50</w:t>
            </w:r>
            <w:r>
              <w:rPr>
                <w:rFonts w:hint="eastAsia" w:ascii="楷体" w:hAnsi="楷体" w:eastAsia="楷体" w:cs="楷体"/>
                <w:position w:val="-2"/>
                <w:sz w:val="24"/>
              </w:rPr>
              <w:t>%+</w:t>
            </w:r>
            <w:r>
              <w:rPr>
                <w:rFonts w:hint="eastAsia" w:ascii="楷体" w:hAnsi="楷体" w:eastAsia="楷体" w:cs="楷体"/>
                <w:position w:val="-2"/>
                <w:sz w:val="24"/>
                <w:lang w:val="en-US" w:eastAsia="zh-CN"/>
              </w:rPr>
              <w:t>1.00</w:t>
            </w:r>
            <w:r>
              <w:rPr>
                <w:rFonts w:hint="eastAsia" w:ascii="楷体" w:hAnsi="楷体" w:eastAsia="楷体" w:cs="楷体"/>
                <w:position w:val="-2"/>
                <w:sz w:val="24"/>
              </w:rPr>
              <w:t>%=</w:t>
            </w:r>
            <w:r>
              <w:rPr>
                <w:rFonts w:hint="eastAsia" w:ascii="楷体" w:hAnsi="楷体" w:eastAsia="楷体" w:cs="楷体"/>
                <w:position w:val="-2"/>
                <w:sz w:val="24"/>
                <w:lang w:val="en-US" w:eastAsia="zh-CN"/>
              </w:rPr>
              <w:t>2.50</w:t>
            </w:r>
            <w:r>
              <w:rPr>
                <w:rFonts w:hint="eastAsia" w:ascii="楷体" w:hAnsi="楷体" w:eastAsia="楷体" w:cs="楷体"/>
                <w:position w:val="-2"/>
                <w:sz w:val="24"/>
              </w:rPr>
              <w:t>%，业绩比较基准不是预期收益率，不代表产品的未来表现和实际收益，不构成对产品收益的承诺，仅作为计算</w:t>
            </w:r>
            <w:r>
              <w:rPr>
                <w:rFonts w:hint="eastAsia" w:ascii="楷体" w:hAnsi="楷体" w:eastAsia="楷体" w:cs="楷体"/>
                <w:position w:val="-2"/>
                <w:sz w:val="24"/>
                <w:lang w:val="en-US" w:eastAsia="zh-CN"/>
              </w:rPr>
              <w:t>超额业绩报酬</w:t>
            </w:r>
            <w:r>
              <w:rPr>
                <w:rFonts w:hint="eastAsia" w:ascii="楷体" w:hAnsi="楷体" w:eastAsia="楷体" w:cs="楷体"/>
                <w:position w:val="-2"/>
                <w:sz w:val="24"/>
              </w:rPr>
              <w:t>依据，即理财产品在扣除销售费、托管费、固定管理费、外包服务费及资产交易相关税费后，年化实际投资收益率超过业绩比较基准部分。）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04</w:t>
            </w:r>
            <w:r>
              <w:rPr>
                <w:rFonts w:ascii="楷体" w:hAnsi="楷体" w:eastAsia="楷体" w:cs="楷体"/>
                <w:position w:val="-2"/>
                <w:sz w:val="24"/>
              </w:rPr>
              <w:t>月</w:t>
            </w:r>
            <w:r>
              <w:rPr>
                <w:rFonts w:hint="eastAsia" w:ascii="楷体" w:hAnsi="楷体" w:eastAsia="楷体" w:cs="楷体"/>
                <w:position w:val="-2"/>
                <w:sz w:val="24"/>
                <w:lang w:val="en-US" w:eastAsia="zh-CN"/>
              </w:rPr>
              <w:t>15</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04</w:t>
            </w:r>
            <w:r>
              <w:rPr>
                <w:rFonts w:ascii="楷体" w:hAnsi="楷体" w:eastAsia="楷体" w:cs="楷体"/>
                <w:position w:val="-2"/>
                <w:sz w:val="24"/>
              </w:rPr>
              <w:t>月</w:t>
            </w:r>
            <w:r>
              <w:rPr>
                <w:rFonts w:hint="eastAsia" w:ascii="楷体" w:hAnsi="楷体" w:eastAsia="楷体" w:cs="楷体"/>
                <w:position w:val="-2"/>
                <w:sz w:val="24"/>
                <w:lang w:val="en-US" w:eastAsia="zh-CN"/>
              </w:rPr>
              <w:t>21</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04</w:t>
            </w:r>
            <w:r>
              <w:rPr>
                <w:rFonts w:ascii="楷体" w:hAnsi="楷体" w:eastAsia="楷体" w:cs="楷体"/>
                <w:position w:val="-2"/>
                <w:sz w:val="24"/>
              </w:rPr>
              <w:t>月</w:t>
            </w:r>
            <w:r>
              <w:rPr>
                <w:rFonts w:hint="eastAsia" w:ascii="楷体" w:hAnsi="楷体" w:eastAsia="楷体" w:cs="楷体"/>
                <w:position w:val="-2"/>
                <w:sz w:val="24"/>
                <w:lang w:val="en-US" w:eastAsia="zh-CN"/>
              </w:rPr>
              <w:t>22</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23</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04</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15</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D0B5DFF"/>
    <w:rsid w:val="2D122A12"/>
    <w:rsid w:val="32D9423A"/>
    <w:rsid w:val="36452413"/>
    <w:rsid w:val="36D5499A"/>
    <w:rsid w:val="374469BF"/>
    <w:rsid w:val="38C40F47"/>
    <w:rsid w:val="396C0AB8"/>
    <w:rsid w:val="3A260755"/>
    <w:rsid w:val="3D3758B3"/>
    <w:rsid w:val="3E58660F"/>
    <w:rsid w:val="42F42A44"/>
    <w:rsid w:val="47C35B94"/>
    <w:rsid w:val="4898198C"/>
    <w:rsid w:val="4EBB7655"/>
    <w:rsid w:val="4F3B5775"/>
    <w:rsid w:val="50221F65"/>
    <w:rsid w:val="51672BB4"/>
    <w:rsid w:val="51C51FCD"/>
    <w:rsid w:val="529C0ECF"/>
    <w:rsid w:val="52D43913"/>
    <w:rsid w:val="54577B1B"/>
    <w:rsid w:val="54605941"/>
    <w:rsid w:val="5D6144BB"/>
    <w:rsid w:val="5DB14049"/>
    <w:rsid w:val="5FC370A1"/>
    <w:rsid w:val="60155D18"/>
    <w:rsid w:val="60A50BF2"/>
    <w:rsid w:val="62627390"/>
    <w:rsid w:val="67444685"/>
    <w:rsid w:val="680574E9"/>
    <w:rsid w:val="68CD69A6"/>
    <w:rsid w:val="6A5C6353"/>
    <w:rsid w:val="719837D1"/>
    <w:rsid w:val="74C25F37"/>
    <w:rsid w:val="77671885"/>
    <w:rsid w:val="7CE36921"/>
    <w:rsid w:val="7EEA2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40</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2025-04-15T00:46:37Z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