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5</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59</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5</w:t>
      </w:r>
      <w:r>
        <w:rPr>
          <w:rFonts w:ascii="楷体" w:hAnsi="楷体" w:eastAsia="楷体" w:cs="楷体"/>
          <w:sz w:val="30"/>
          <w:szCs w:val="30"/>
        </w:rPr>
        <w:t>年</w:t>
      </w:r>
      <w:r>
        <w:rPr>
          <w:rFonts w:hint="eastAsia" w:ascii="楷体" w:hAnsi="楷体" w:eastAsia="楷体" w:cs="楷体"/>
          <w:sz w:val="30"/>
          <w:szCs w:val="30"/>
          <w:lang w:val="en-US" w:eastAsia="zh-CN"/>
        </w:rPr>
        <w:t>59</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11</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17</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100</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7,100万</w:t>
      </w:r>
      <w:r>
        <w:rPr>
          <w:rFonts w:hint="eastAsia" w:ascii="楷体" w:hAnsi="楷体" w:eastAsia="楷体" w:cs="楷体"/>
          <w:sz w:val="30"/>
          <w:szCs w:val="30"/>
        </w:rPr>
        <w:t>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60</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100</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产品发售起始日大连农商行对公一年期整存整取定期存款利率+1.</w:t>
            </w:r>
            <w:r>
              <w:rPr>
                <w:rFonts w:hint="eastAsia" w:ascii="楷体" w:hAnsi="楷体" w:eastAsia="楷体" w:cs="楷体"/>
                <w:position w:val="-2"/>
                <w:sz w:val="24"/>
                <w:lang w:val="en-US" w:eastAsia="zh-CN"/>
              </w:rPr>
              <w:t>1</w:t>
            </w:r>
            <w:r>
              <w:rPr>
                <w:rFonts w:hint="eastAsia" w:ascii="楷体" w:hAnsi="楷体" w:eastAsia="楷体" w:cs="楷体"/>
                <w:position w:val="-2"/>
                <w:sz w:val="24"/>
              </w:rPr>
              <w:t>5%（根据产品近半年运行数据回测及近期市场行情确定本期产品业绩比较基准为产品发售起始日大连农商行对公一年期整存整取定期存款利率1.</w:t>
            </w:r>
            <w:r>
              <w:rPr>
                <w:rFonts w:hint="eastAsia" w:ascii="楷体" w:hAnsi="楷体" w:eastAsia="楷体" w:cs="楷体"/>
                <w:position w:val="-2"/>
                <w:sz w:val="24"/>
                <w:lang w:val="en-US" w:eastAsia="zh-CN"/>
              </w:rPr>
              <w:t>10</w:t>
            </w:r>
            <w:r>
              <w:rPr>
                <w:rFonts w:hint="eastAsia" w:ascii="楷体" w:hAnsi="楷体" w:eastAsia="楷体" w:cs="楷体"/>
                <w:position w:val="-2"/>
                <w:sz w:val="24"/>
              </w:rPr>
              <w:t>%+1.</w:t>
            </w:r>
            <w:r>
              <w:rPr>
                <w:rFonts w:hint="eastAsia" w:ascii="楷体" w:hAnsi="楷体" w:eastAsia="楷体" w:cs="楷体"/>
                <w:position w:val="-2"/>
                <w:sz w:val="24"/>
                <w:lang w:val="en-US" w:eastAsia="zh-CN"/>
              </w:rPr>
              <w:t>15</w:t>
            </w:r>
            <w:r>
              <w:rPr>
                <w:rFonts w:hint="eastAsia" w:ascii="楷体" w:hAnsi="楷体" w:eastAsia="楷体" w:cs="楷体"/>
                <w:position w:val="-2"/>
                <w:sz w:val="24"/>
              </w:rPr>
              <w:t>%=2.</w:t>
            </w:r>
            <w:r>
              <w:rPr>
                <w:rFonts w:hint="eastAsia" w:ascii="楷体" w:hAnsi="楷体" w:eastAsia="楷体" w:cs="楷体"/>
                <w:position w:val="-2"/>
                <w:sz w:val="24"/>
                <w:lang w:val="en-US" w:eastAsia="zh-CN"/>
              </w:rPr>
              <w:t>25</w:t>
            </w:r>
            <w:r>
              <w:rPr>
                <w:rFonts w:hint="eastAsia" w:ascii="楷体" w:hAnsi="楷体" w:eastAsia="楷体" w:cs="楷体"/>
                <w:position w:val="-2"/>
                <w:sz w:val="24"/>
              </w:rPr>
              <w:t>%，业绩比较基准不是预期收益率，不代表产品的未来表现和实际收益，不构成对产品收益的承诺，仅作为计算浮动管理费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lang w:val="en-US" w:eastAsia="zh-CN"/>
              </w:rPr>
              <w:t>机构</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11</w:t>
            </w:r>
            <w:r>
              <w:rPr>
                <w:rFonts w:ascii="楷体" w:hAnsi="楷体" w:eastAsia="楷体" w:cs="楷体"/>
                <w:position w:val="-2"/>
                <w:sz w:val="24"/>
              </w:rPr>
              <w:t>月</w:t>
            </w:r>
            <w:r>
              <w:rPr>
                <w:rFonts w:hint="eastAsia" w:ascii="楷体" w:hAnsi="楷体" w:eastAsia="楷体" w:cs="楷体"/>
                <w:position w:val="-2"/>
                <w:sz w:val="24"/>
                <w:lang w:val="en-US" w:eastAsia="zh-CN"/>
              </w:rPr>
              <w:t>17</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11</w:t>
            </w:r>
            <w:r>
              <w:rPr>
                <w:rFonts w:ascii="楷体" w:hAnsi="楷体" w:eastAsia="楷体" w:cs="楷体"/>
                <w:position w:val="-2"/>
                <w:sz w:val="24"/>
              </w:rPr>
              <w:t>月</w:t>
            </w:r>
            <w:r>
              <w:rPr>
                <w:rFonts w:hint="eastAsia" w:ascii="楷体" w:hAnsi="楷体" w:eastAsia="楷体" w:cs="楷体"/>
                <w:position w:val="-2"/>
                <w:sz w:val="24"/>
                <w:lang w:val="en-US" w:eastAsia="zh-CN"/>
              </w:rPr>
              <w:t>17</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11</w:t>
            </w:r>
            <w:r>
              <w:rPr>
                <w:rFonts w:ascii="楷体" w:hAnsi="楷体" w:eastAsia="楷体" w:cs="楷体"/>
                <w:position w:val="-2"/>
                <w:sz w:val="24"/>
              </w:rPr>
              <w:t>月</w:t>
            </w:r>
            <w:r>
              <w:rPr>
                <w:rFonts w:hint="eastAsia" w:ascii="楷体" w:hAnsi="楷体" w:eastAsia="楷体" w:cs="楷体"/>
                <w:position w:val="-2"/>
                <w:sz w:val="24"/>
                <w:lang w:val="en-US" w:eastAsia="zh-CN"/>
              </w:rPr>
              <w:t>18</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02</w:t>
            </w:r>
            <w:r>
              <w:rPr>
                <w:rFonts w:ascii="楷体" w:hAnsi="楷体" w:eastAsia="楷体" w:cs="楷体"/>
                <w:position w:val="-2"/>
                <w:sz w:val="24"/>
              </w:rPr>
              <w:t>月</w:t>
            </w:r>
            <w:r>
              <w:rPr>
                <w:rFonts w:hint="eastAsia" w:ascii="楷体" w:hAnsi="楷体" w:eastAsia="楷体" w:cs="楷体"/>
                <w:position w:val="-2"/>
                <w:sz w:val="24"/>
                <w:lang w:val="en-US" w:eastAsia="zh-CN"/>
              </w:rPr>
              <w:t>26</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11</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17</w:t>
      </w:r>
      <w:bookmarkStart w:id="0" w:name="_GoBack"/>
      <w:bookmarkEnd w:id="0"/>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6F227A7"/>
    <w:rsid w:val="17FE417D"/>
    <w:rsid w:val="184660DB"/>
    <w:rsid w:val="1D010480"/>
    <w:rsid w:val="1D0A0396"/>
    <w:rsid w:val="1F633FFD"/>
    <w:rsid w:val="2016106C"/>
    <w:rsid w:val="21094F47"/>
    <w:rsid w:val="218A66DD"/>
    <w:rsid w:val="21E3511A"/>
    <w:rsid w:val="2369477E"/>
    <w:rsid w:val="272A1225"/>
    <w:rsid w:val="27946284"/>
    <w:rsid w:val="2806420E"/>
    <w:rsid w:val="2A0C34D4"/>
    <w:rsid w:val="2D0B5DFF"/>
    <w:rsid w:val="2D122A12"/>
    <w:rsid w:val="32D9423A"/>
    <w:rsid w:val="35DF7E7A"/>
    <w:rsid w:val="36452413"/>
    <w:rsid w:val="36D5499A"/>
    <w:rsid w:val="374469BF"/>
    <w:rsid w:val="377D76A7"/>
    <w:rsid w:val="38C40F47"/>
    <w:rsid w:val="396C0AB8"/>
    <w:rsid w:val="3A260755"/>
    <w:rsid w:val="3A5E6CFC"/>
    <w:rsid w:val="3D3758B3"/>
    <w:rsid w:val="3E58660F"/>
    <w:rsid w:val="42F42A44"/>
    <w:rsid w:val="46836D7B"/>
    <w:rsid w:val="47C35B94"/>
    <w:rsid w:val="4898198C"/>
    <w:rsid w:val="4EBB7655"/>
    <w:rsid w:val="4F3B5775"/>
    <w:rsid w:val="50221F65"/>
    <w:rsid w:val="51672BB4"/>
    <w:rsid w:val="51C51FCD"/>
    <w:rsid w:val="529C0ECF"/>
    <w:rsid w:val="52D43913"/>
    <w:rsid w:val="54577B1B"/>
    <w:rsid w:val="54605941"/>
    <w:rsid w:val="55A7243B"/>
    <w:rsid w:val="5D6144BB"/>
    <w:rsid w:val="5DB14049"/>
    <w:rsid w:val="5E0E030E"/>
    <w:rsid w:val="5E2622A1"/>
    <w:rsid w:val="5FC370A1"/>
    <w:rsid w:val="60155D18"/>
    <w:rsid w:val="60A50BF2"/>
    <w:rsid w:val="62627390"/>
    <w:rsid w:val="67444685"/>
    <w:rsid w:val="680574E9"/>
    <w:rsid w:val="68CD69A6"/>
    <w:rsid w:val="6A5C6353"/>
    <w:rsid w:val="719837D1"/>
    <w:rsid w:val="726A3F4E"/>
    <w:rsid w:val="736D0276"/>
    <w:rsid w:val="74C25F37"/>
    <w:rsid w:val="77671885"/>
    <w:rsid w:val="78160A7E"/>
    <w:rsid w:val="7A653FF3"/>
    <w:rsid w:val="7CE36921"/>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1</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2025-11-17T01:05:12Z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