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269CCA">
      <w:pPr>
        <w:jc w:val="center"/>
        <w:rPr>
          <w:rFonts w:hint="eastAsia" w:ascii="仿宋" w:hAnsi="仿宋" w:eastAsia="仿宋"/>
          <w:b/>
          <w:sz w:val="36"/>
          <w:szCs w:val="36"/>
        </w:rPr>
      </w:pPr>
    </w:p>
    <w:p w14:paraId="46D7F12E">
      <w:pPr>
        <w:jc w:val="center"/>
        <w:rPr>
          <w:rFonts w:hint="eastAsia" w:ascii="仿宋" w:hAnsi="仿宋" w:eastAsia="仿宋"/>
          <w:b/>
          <w:sz w:val="36"/>
          <w:szCs w:val="36"/>
        </w:rPr>
      </w:pPr>
    </w:p>
    <w:p w14:paraId="41B469B6">
      <w:pPr>
        <w:jc w:val="center"/>
        <w:rPr>
          <w:rFonts w:hint="eastAsia" w:ascii="仿宋" w:hAnsi="仿宋" w:eastAsia="仿宋"/>
          <w:b/>
          <w:sz w:val="36"/>
          <w:szCs w:val="36"/>
        </w:rPr>
      </w:pPr>
    </w:p>
    <w:p w14:paraId="2A092E35">
      <w:pPr>
        <w:jc w:val="center"/>
        <w:rPr>
          <w:rFonts w:hint="eastAsia" w:ascii="仿宋" w:hAnsi="仿宋" w:eastAsia="仿宋"/>
          <w:b/>
          <w:sz w:val="48"/>
          <w:szCs w:val="48"/>
        </w:rPr>
      </w:pPr>
      <w:bookmarkStart w:id="2" w:name="_GoBack"/>
      <w:r>
        <w:rPr>
          <w:rFonts w:hint="eastAsia" w:ascii="仿宋" w:hAnsi="仿宋" w:eastAsia="仿宋"/>
          <w:b/>
          <w:sz w:val="48"/>
          <w:szCs w:val="48"/>
        </w:rPr>
        <w:t>大连农商银行“金浪花”2026年</w:t>
      </w:r>
      <w:r>
        <w:rPr>
          <w:rFonts w:hint="eastAsia" w:ascii="仿宋" w:hAnsi="仿宋" w:eastAsia="仿宋"/>
          <w:b/>
          <w:sz w:val="48"/>
          <w:szCs w:val="48"/>
          <w:lang w:val="en-US" w:eastAsia="zh-CN"/>
        </w:rPr>
        <w:t>39期</w:t>
      </w:r>
    </w:p>
    <w:p w14:paraId="6C065789">
      <w:pPr>
        <w:jc w:val="center"/>
        <w:rPr>
          <w:rFonts w:hint="eastAsia" w:ascii="仿宋" w:hAnsi="仿宋" w:eastAsia="仿宋"/>
          <w:b/>
          <w:sz w:val="48"/>
          <w:szCs w:val="48"/>
          <w:lang w:val="en-US" w:eastAsia="zh-CN"/>
        </w:rPr>
      </w:pPr>
      <w:r>
        <w:rPr>
          <w:rFonts w:hint="eastAsia" w:ascii="仿宋" w:hAnsi="仿宋" w:eastAsia="仿宋"/>
          <w:b/>
          <w:sz w:val="48"/>
          <w:szCs w:val="48"/>
        </w:rPr>
        <w:t>净值型人民币理财产品</w:t>
      </w:r>
      <w:r>
        <w:rPr>
          <w:rFonts w:hint="eastAsia" w:ascii="仿宋" w:hAnsi="仿宋" w:eastAsia="仿宋"/>
          <w:b/>
          <w:sz w:val="48"/>
          <w:szCs w:val="48"/>
          <w:lang w:val="en-US" w:eastAsia="zh-CN"/>
        </w:rPr>
        <w:t>合同</w:t>
      </w:r>
    </w:p>
    <w:bookmarkEnd w:id="2"/>
    <w:tbl>
      <w:tblPr>
        <w:tblStyle w:val="3"/>
        <w:tblpPr w:leftFromText="180" w:rightFromText="180" w:vertAnchor="text" w:horzAnchor="page" w:tblpX="1754" w:tblpY="1741"/>
        <w:tblOverlap w:val="never"/>
        <w:tblW w:w="87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5"/>
        <w:gridCol w:w="7863"/>
      </w:tblGrid>
      <w:tr w14:paraId="0011D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845" w:type="dxa"/>
            <w:vAlign w:val="top"/>
          </w:tcPr>
          <w:p w14:paraId="1B2BDA79">
            <w:pPr>
              <w:rPr>
                <w:rFonts w:hint="default" w:ascii="仿宋" w:hAnsi="仿宋" w:eastAsia="仿宋"/>
                <w:b/>
                <w:sz w:val="24"/>
                <w:szCs w:val="24"/>
                <w:vertAlign w:val="baseline"/>
                <w:lang w:val="en-US" w:eastAsia="zh-CN"/>
              </w:rPr>
            </w:pPr>
            <w:r>
              <w:rPr>
                <w:rFonts w:hint="eastAsia" w:ascii="仿宋" w:hAnsi="仿宋" w:eastAsia="仿宋"/>
                <w:b/>
                <w:sz w:val="24"/>
                <w:szCs w:val="24"/>
                <w:vertAlign w:val="baseline"/>
                <w:lang w:val="en-US" w:eastAsia="zh-CN"/>
              </w:rPr>
              <w:t>序号</w:t>
            </w:r>
          </w:p>
        </w:tc>
        <w:tc>
          <w:tcPr>
            <w:tcW w:w="7863" w:type="dxa"/>
            <w:vAlign w:val="top"/>
          </w:tcPr>
          <w:p w14:paraId="2E28D5AF">
            <w:pPr>
              <w:rPr>
                <w:rFonts w:hint="default" w:ascii="仿宋" w:hAnsi="仿宋" w:eastAsia="仿宋"/>
                <w:b/>
                <w:sz w:val="24"/>
                <w:szCs w:val="24"/>
                <w:vertAlign w:val="baseline"/>
                <w:lang w:val="en-US" w:eastAsia="zh-CN"/>
              </w:rPr>
            </w:pPr>
            <w:r>
              <w:rPr>
                <w:rFonts w:hint="eastAsia" w:ascii="仿宋" w:hAnsi="仿宋" w:eastAsia="仿宋"/>
                <w:b/>
                <w:sz w:val="24"/>
                <w:szCs w:val="24"/>
                <w:vertAlign w:val="baseline"/>
                <w:lang w:val="en-US" w:eastAsia="zh-CN"/>
              </w:rPr>
              <w:t>理财合同文件名称</w:t>
            </w:r>
          </w:p>
        </w:tc>
      </w:tr>
      <w:tr w14:paraId="399DD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exact"/>
        </w:trPr>
        <w:tc>
          <w:tcPr>
            <w:tcW w:w="845" w:type="dxa"/>
            <w:vAlign w:val="top"/>
          </w:tcPr>
          <w:p w14:paraId="44FE9A12">
            <w:pPr>
              <w:rPr>
                <w:rFonts w:hint="default" w:ascii="仿宋" w:hAnsi="仿宋" w:eastAsia="仿宋"/>
                <w:b/>
                <w:sz w:val="24"/>
                <w:szCs w:val="24"/>
                <w:vertAlign w:val="baseline"/>
                <w:lang w:val="en-US" w:eastAsia="zh-CN"/>
              </w:rPr>
            </w:pPr>
            <w:r>
              <w:rPr>
                <w:rFonts w:hint="eastAsia" w:ascii="仿宋" w:hAnsi="仿宋" w:eastAsia="仿宋"/>
                <w:b/>
                <w:sz w:val="24"/>
                <w:szCs w:val="24"/>
                <w:vertAlign w:val="baseline"/>
                <w:lang w:val="en-US" w:eastAsia="zh-CN"/>
              </w:rPr>
              <w:t>1</w:t>
            </w:r>
          </w:p>
        </w:tc>
        <w:tc>
          <w:tcPr>
            <w:tcW w:w="7863" w:type="dxa"/>
            <w:vAlign w:val="top"/>
          </w:tcPr>
          <w:p w14:paraId="79374673">
            <w:pPr>
              <w:jc w:val="both"/>
              <w:rPr>
                <w:rFonts w:hint="default" w:ascii="仿宋" w:hAnsi="仿宋" w:eastAsia="仿宋"/>
                <w:b w:val="0"/>
                <w:bCs/>
                <w:sz w:val="24"/>
                <w:szCs w:val="24"/>
                <w:vertAlign w:val="baseline"/>
                <w:lang w:val="en-US" w:eastAsia="zh-CN"/>
              </w:rPr>
            </w:pPr>
            <w:r>
              <w:rPr>
                <w:rFonts w:hint="eastAsia" w:ascii="仿宋" w:hAnsi="仿宋" w:eastAsia="仿宋"/>
                <w:b/>
                <w:bCs w:val="0"/>
                <w:sz w:val="24"/>
                <w:szCs w:val="24"/>
                <w:lang w:val="en-US" w:eastAsia="zh-CN"/>
              </w:rPr>
              <w:t>大连农商银行金浪花理财产品风险揭示书</w:t>
            </w:r>
            <w:r>
              <w:rPr>
                <w:rFonts w:hint="eastAsia" w:ascii="仿宋" w:hAnsi="仿宋" w:eastAsia="仿宋"/>
                <w:b w:val="0"/>
                <w:bCs/>
                <w:sz w:val="24"/>
                <w:szCs w:val="24"/>
                <w:lang w:val="en-US" w:eastAsia="zh-CN"/>
              </w:rPr>
              <w:t>（以下简称“风险揭示书”）</w:t>
            </w:r>
          </w:p>
        </w:tc>
      </w:tr>
      <w:tr w14:paraId="35EFE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exact"/>
        </w:trPr>
        <w:tc>
          <w:tcPr>
            <w:tcW w:w="845" w:type="dxa"/>
            <w:vAlign w:val="top"/>
          </w:tcPr>
          <w:p w14:paraId="7C7F0707">
            <w:pPr>
              <w:rPr>
                <w:rFonts w:hint="default" w:ascii="仿宋" w:hAnsi="仿宋" w:eastAsia="仿宋"/>
                <w:b/>
                <w:sz w:val="24"/>
                <w:szCs w:val="24"/>
                <w:vertAlign w:val="baseline"/>
                <w:lang w:val="en-US" w:eastAsia="zh-CN"/>
              </w:rPr>
            </w:pPr>
            <w:r>
              <w:rPr>
                <w:rFonts w:hint="eastAsia" w:ascii="仿宋" w:hAnsi="仿宋" w:eastAsia="仿宋"/>
                <w:b/>
                <w:sz w:val="24"/>
                <w:szCs w:val="24"/>
                <w:vertAlign w:val="baseline"/>
                <w:lang w:val="en-US" w:eastAsia="zh-CN"/>
              </w:rPr>
              <w:t>2</w:t>
            </w:r>
          </w:p>
        </w:tc>
        <w:tc>
          <w:tcPr>
            <w:tcW w:w="7863" w:type="dxa"/>
            <w:vAlign w:val="top"/>
          </w:tcPr>
          <w:p w14:paraId="17CD36E2">
            <w:pPr>
              <w:rPr>
                <w:rFonts w:hint="eastAsia" w:ascii="仿宋" w:hAnsi="仿宋" w:eastAsia="仿宋"/>
                <w:b w:val="0"/>
                <w:bCs/>
                <w:sz w:val="24"/>
                <w:szCs w:val="24"/>
                <w:vertAlign w:val="baseline"/>
                <w:lang w:val="en-US" w:eastAsia="zh-CN"/>
              </w:rPr>
            </w:pPr>
            <w:r>
              <w:rPr>
                <w:rFonts w:hint="eastAsia" w:ascii="仿宋" w:hAnsi="仿宋" w:eastAsia="仿宋"/>
                <w:b/>
                <w:bCs w:val="0"/>
                <w:sz w:val="24"/>
                <w:szCs w:val="24"/>
              </w:rPr>
              <w:t>大连农商银行“金浪花”2026年</w:t>
            </w:r>
            <w:r>
              <w:rPr>
                <w:rFonts w:hint="eastAsia" w:ascii="仿宋" w:hAnsi="仿宋" w:eastAsia="仿宋"/>
                <w:b/>
                <w:bCs w:val="0"/>
                <w:sz w:val="24"/>
                <w:szCs w:val="24"/>
                <w:lang w:val="en-US" w:eastAsia="zh-CN"/>
              </w:rPr>
              <w:t>39期</w:t>
            </w:r>
            <w:r>
              <w:rPr>
                <w:rFonts w:hint="eastAsia" w:ascii="仿宋" w:hAnsi="仿宋" w:eastAsia="仿宋"/>
                <w:b/>
                <w:bCs w:val="0"/>
                <w:sz w:val="24"/>
                <w:szCs w:val="24"/>
              </w:rPr>
              <w:t>净值型人民币理财产品说明书</w:t>
            </w:r>
            <w:r>
              <w:rPr>
                <w:rFonts w:hint="eastAsia" w:ascii="仿宋" w:hAnsi="仿宋" w:eastAsia="仿宋"/>
                <w:b w:val="0"/>
                <w:bCs/>
                <w:sz w:val="24"/>
                <w:szCs w:val="24"/>
                <w:lang w:eastAsia="zh-CN"/>
              </w:rPr>
              <w:t>（</w:t>
            </w:r>
            <w:r>
              <w:rPr>
                <w:rFonts w:hint="eastAsia" w:ascii="仿宋" w:hAnsi="仿宋" w:eastAsia="仿宋"/>
                <w:b w:val="0"/>
                <w:bCs/>
                <w:sz w:val="24"/>
                <w:szCs w:val="24"/>
                <w:lang w:val="en-US" w:eastAsia="zh-CN"/>
              </w:rPr>
              <w:t>以下简称“产品说明书”</w:t>
            </w:r>
            <w:r>
              <w:rPr>
                <w:rFonts w:hint="eastAsia" w:ascii="仿宋" w:hAnsi="仿宋" w:eastAsia="仿宋"/>
                <w:b w:val="0"/>
                <w:bCs/>
                <w:sz w:val="24"/>
                <w:szCs w:val="24"/>
                <w:lang w:eastAsia="zh-CN"/>
              </w:rPr>
              <w:t>）</w:t>
            </w:r>
          </w:p>
        </w:tc>
      </w:tr>
      <w:tr w14:paraId="1FA8C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845" w:type="dxa"/>
            <w:vAlign w:val="top"/>
          </w:tcPr>
          <w:p w14:paraId="41773F78">
            <w:pPr>
              <w:rPr>
                <w:rFonts w:hint="default" w:ascii="仿宋" w:hAnsi="仿宋" w:eastAsia="仿宋"/>
                <w:b/>
                <w:sz w:val="24"/>
                <w:szCs w:val="24"/>
                <w:vertAlign w:val="baseline"/>
                <w:lang w:val="en-US" w:eastAsia="zh-CN"/>
              </w:rPr>
            </w:pPr>
            <w:r>
              <w:rPr>
                <w:rFonts w:hint="eastAsia" w:ascii="仿宋" w:hAnsi="仿宋" w:eastAsia="仿宋"/>
                <w:b/>
                <w:sz w:val="24"/>
                <w:szCs w:val="24"/>
                <w:vertAlign w:val="baseline"/>
                <w:lang w:val="en-US" w:eastAsia="zh-CN"/>
              </w:rPr>
              <w:t>3</w:t>
            </w:r>
          </w:p>
        </w:tc>
        <w:tc>
          <w:tcPr>
            <w:tcW w:w="7863" w:type="dxa"/>
            <w:vAlign w:val="top"/>
          </w:tcPr>
          <w:p w14:paraId="6A600C88">
            <w:pPr>
              <w:jc w:val="both"/>
              <w:rPr>
                <w:rFonts w:ascii="黑体" w:hAnsi="黑体" w:eastAsia="黑体"/>
                <w:b/>
                <w:bCs/>
                <w:sz w:val="24"/>
                <w:szCs w:val="24"/>
              </w:rPr>
            </w:pPr>
            <w:r>
              <w:rPr>
                <w:rFonts w:hint="eastAsia" w:ascii="仿宋" w:hAnsi="仿宋" w:eastAsia="仿宋"/>
                <w:b/>
                <w:bCs w:val="0"/>
                <w:sz w:val="24"/>
                <w:szCs w:val="24"/>
                <w:vertAlign w:val="baseline"/>
                <w:lang w:val="en-US" w:eastAsia="zh-CN"/>
              </w:rPr>
              <w:t>大连农商银行金浪花理财产品客户权益须知</w:t>
            </w:r>
            <w:r>
              <w:rPr>
                <w:rFonts w:hint="eastAsia" w:ascii="仿宋" w:hAnsi="仿宋" w:eastAsia="仿宋"/>
                <w:b w:val="0"/>
                <w:bCs/>
                <w:sz w:val="24"/>
                <w:szCs w:val="24"/>
                <w:lang w:eastAsia="zh-CN"/>
              </w:rPr>
              <w:t>（</w:t>
            </w:r>
            <w:r>
              <w:rPr>
                <w:rFonts w:hint="eastAsia" w:ascii="仿宋" w:hAnsi="仿宋" w:eastAsia="仿宋"/>
                <w:b w:val="0"/>
                <w:bCs/>
                <w:sz w:val="24"/>
                <w:szCs w:val="24"/>
                <w:lang w:val="en-US" w:eastAsia="zh-CN"/>
              </w:rPr>
              <w:t>以下简称“客户权益须知”</w:t>
            </w:r>
            <w:r>
              <w:rPr>
                <w:rFonts w:hint="eastAsia" w:ascii="仿宋" w:hAnsi="仿宋" w:eastAsia="仿宋"/>
                <w:b w:val="0"/>
                <w:bCs/>
                <w:sz w:val="24"/>
                <w:szCs w:val="24"/>
                <w:lang w:eastAsia="zh-CN"/>
              </w:rPr>
              <w:t>）</w:t>
            </w:r>
          </w:p>
          <w:p w14:paraId="7EC19746">
            <w:pPr>
              <w:rPr>
                <w:rFonts w:hint="default" w:ascii="仿宋" w:hAnsi="仿宋" w:eastAsia="仿宋"/>
                <w:b w:val="0"/>
                <w:bCs/>
                <w:sz w:val="24"/>
                <w:szCs w:val="24"/>
                <w:vertAlign w:val="baseline"/>
                <w:lang w:val="en-US" w:eastAsia="zh-CN"/>
              </w:rPr>
            </w:pPr>
          </w:p>
        </w:tc>
      </w:tr>
      <w:tr w14:paraId="3A9B9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exact"/>
        </w:trPr>
        <w:tc>
          <w:tcPr>
            <w:tcW w:w="845" w:type="dxa"/>
            <w:vAlign w:val="top"/>
          </w:tcPr>
          <w:p w14:paraId="4A3FA458">
            <w:pPr>
              <w:rPr>
                <w:rFonts w:hint="default" w:ascii="仿宋" w:hAnsi="仿宋" w:eastAsia="仿宋"/>
                <w:b/>
                <w:sz w:val="24"/>
                <w:szCs w:val="24"/>
                <w:vertAlign w:val="baseline"/>
                <w:lang w:val="en-US" w:eastAsia="zh-CN"/>
              </w:rPr>
            </w:pPr>
            <w:r>
              <w:rPr>
                <w:rFonts w:hint="eastAsia" w:ascii="仿宋" w:hAnsi="仿宋" w:eastAsia="仿宋"/>
                <w:b/>
                <w:sz w:val="24"/>
                <w:szCs w:val="24"/>
                <w:vertAlign w:val="baseline"/>
                <w:lang w:val="en-US" w:eastAsia="zh-CN"/>
              </w:rPr>
              <w:t>4</w:t>
            </w:r>
          </w:p>
        </w:tc>
        <w:tc>
          <w:tcPr>
            <w:tcW w:w="7863" w:type="dxa"/>
            <w:vAlign w:val="top"/>
          </w:tcPr>
          <w:p w14:paraId="5F9D8DA7">
            <w:pPr>
              <w:jc w:val="both"/>
              <w:rPr>
                <w:rFonts w:hint="eastAsia" w:ascii="仿宋" w:hAnsi="仿宋" w:eastAsia="仿宋"/>
                <w:b w:val="0"/>
                <w:bCs/>
                <w:sz w:val="24"/>
                <w:szCs w:val="24"/>
                <w:lang w:val="en-US" w:eastAsia="zh-CN"/>
              </w:rPr>
            </w:pPr>
            <w:r>
              <w:rPr>
                <w:rFonts w:hint="eastAsia" w:ascii="仿宋_GB2312" w:hAnsi="宋体" w:eastAsia="仿宋_GB2312" w:cs="仿宋_GB2312"/>
                <w:b/>
                <w:bCs/>
                <w:color w:val="000000"/>
                <w:sz w:val="24"/>
                <w:szCs w:val="24"/>
                <w:lang w:val="en-US" w:eastAsia="zh-CN"/>
              </w:rPr>
              <w:t>大连农商银行金浪花理财产品协议书</w:t>
            </w:r>
            <w:r>
              <w:rPr>
                <w:rFonts w:hint="eastAsia" w:ascii="仿宋" w:hAnsi="仿宋" w:eastAsia="仿宋"/>
                <w:b w:val="0"/>
                <w:bCs/>
                <w:sz w:val="24"/>
                <w:szCs w:val="24"/>
                <w:lang w:eastAsia="zh-CN"/>
              </w:rPr>
              <w:t>（</w:t>
            </w:r>
            <w:r>
              <w:rPr>
                <w:rFonts w:hint="eastAsia" w:ascii="仿宋" w:hAnsi="仿宋" w:eastAsia="仿宋"/>
                <w:b w:val="0"/>
                <w:bCs/>
                <w:sz w:val="24"/>
                <w:szCs w:val="24"/>
                <w:lang w:val="en-US" w:eastAsia="zh-CN"/>
              </w:rPr>
              <w:t>以下简称“理财产品协议书”）</w:t>
            </w:r>
          </w:p>
          <w:p w14:paraId="37F37D9D">
            <w:pPr>
              <w:rPr>
                <w:rFonts w:hint="default" w:ascii="仿宋" w:hAnsi="仿宋" w:eastAsia="仿宋"/>
                <w:b w:val="0"/>
                <w:bCs/>
                <w:sz w:val="24"/>
                <w:szCs w:val="24"/>
                <w:vertAlign w:val="baseline"/>
                <w:lang w:val="en-US" w:eastAsia="zh-CN"/>
              </w:rPr>
            </w:pPr>
          </w:p>
        </w:tc>
      </w:tr>
    </w:tbl>
    <w:p w14:paraId="26B656B8">
      <w:pPr>
        <w:rPr>
          <w:rFonts w:hint="eastAsia" w:ascii="仿宋" w:hAnsi="仿宋" w:eastAsia="仿宋"/>
          <w:b/>
          <w:sz w:val="36"/>
          <w:szCs w:val="36"/>
          <w:lang w:val="en-US" w:eastAsia="zh-CN"/>
        </w:rPr>
      </w:pPr>
    </w:p>
    <w:p w14:paraId="35BAA80F">
      <w:pPr>
        <w:bidi w:val="0"/>
        <w:rPr>
          <w:rFonts w:hint="eastAsia" w:asciiTheme="minorHAnsi" w:hAnsiTheme="minorHAnsi" w:eastAsiaTheme="minorEastAsia" w:cstheme="minorBidi"/>
          <w:kern w:val="2"/>
          <w:sz w:val="21"/>
          <w:szCs w:val="24"/>
          <w:lang w:val="en-US" w:eastAsia="zh-CN" w:bidi="ar-SA"/>
        </w:rPr>
      </w:pPr>
    </w:p>
    <w:p w14:paraId="49510BD9">
      <w:pPr>
        <w:bidi w:val="0"/>
        <w:rPr>
          <w:rFonts w:hint="eastAsia"/>
          <w:lang w:val="en-US" w:eastAsia="zh-CN"/>
        </w:rPr>
      </w:pPr>
    </w:p>
    <w:p w14:paraId="6D094932">
      <w:pPr>
        <w:keepNext w:val="0"/>
        <w:keepLines w:val="0"/>
        <w:widowControl/>
        <w:suppressLineNumbers w:val="0"/>
        <w:jc w:val="left"/>
        <w:rPr>
          <w:rFonts w:hint="eastAsia"/>
          <w:lang w:val="en-US" w:eastAsia="zh-CN"/>
        </w:rPr>
      </w:pPr>
    </w:p>
    <w:p w14:paraId="0AB08FEC">
      <w:pPr>
        <w:keepNext w:val="0"/>
        <w:keepLines w:val="0"/>
        <w:widowControl/>
        <w:suppressLineNumbers w:val="0"/>
        <w:ind w:firstLine="420" w:firstLineChars="200"/>
        <w:jc w:val="left"/>
        <w:rPr>
          <w:rFonts w:hint="eastAsia"/>
          <w:lang w:val="en-US" w:eastAsia="zh-CN"/>
        </w:rPr>
      </w:pPr>
      <w:r>
        <w:rPr>
          <w:rFonts w:hint="eastAsia"/>
          <w:lang w:val="en-US" w:eastAsia="zh-CN"/>
        </w:rPr>
        <w:t>注：《风险揭示书》、《产品说明书》、《客户权益须知》、《理财产品协议书》共同构成完整的不可分割的理财合同。</w:t>
      </w:r>
    </w:p>
    <w:p w14:paraId="151E3C33">
      <w:pPr>
        <w:keepNext w:val="0"/>
        <w:keepLines w:val="0"/>
        <w:widowControl/>
        <w:suppressLineNumbers w:val="0"/>
        <w:ind w:firstLine="420" w:firstLineChars="200"/>
        <w:jc w:val="left"/>
        <w:rPr>
          <w:rFonts w:hint="eastAsia"/>
          <w:lang w:val="en-US" w:eastAsia="zh-CN"/>
        </w:rPr>
      </w:pPr>
    </w:p>
    <w:p w14:paraId="0FF82E9C">
      <w:pPr>
        <w:keepNext w:val="0"/>
        <w:keepLines w:val="0"/>
        <w:widowControl/>
        <w:suppressLineNumbers w:val="0"/>
        <w:ind w:firstLine="420" w:firstLineChars="200"/>
        <w:jc w:val="left"/>
        <w:rPr>
          <w:rFonts w:hint="eastAsia"/>
          <w:lang w:val="en-US" w:eastAsia="zh-CN"/>
        </w:rPr>
      </w:pPr>
    </w:p>
    <w:p w14:paraId="7003CA85">
      <w:pPr>
        <w:keepNext w:val="0"/>
        <w:keepLines w:val="0"/>
        <w:widowControl/>
        <w:suppressLineNumbers w:val="0"/>
        <w:ind w:firstLine="420" w:firstLineChars="200"/>
        <w:jc w:val="left"/>
        <w:rPr>
          <w:rFonts w:hint="eastAsia"/>
          <w:lang w:val="en-US" w:eastAsia="zh-CN"/>
        </w:rPr>
      </w:pPr>
    </w:p>
    <w:p w14:paraId="6CAB2FE5">
      <w:pPr>
        <w:keepNext w:val="0"/>
        <w:keepLines w:val="0"/>
        <w:widowControl/>
        <w:suppressLineNumbers w:val="0"/>
        <w:ind w:firstLine="420" w:firstLineChars="200"/>
        <w:jc w:val="left"/>
        <w:rPr>
          <w:rFonts w:hint="eastAsia"/>
          <w:lang w:val="en-US" w:eastAsia="zh-CN"/>
        </w:rPr>
      </w:pPr>
    </w:p>
    <w:p w14:paraId="5E3567FC">
      <w:pPr>
        <w:keepNext w:val="0"/>
        <w:keepLines w:val="0"/>
        <w:widowControl/>
        <w:suppressLineNumbers w:val="0"/>
        <w:ind w:firstLine="420" w:firstLineChars="200"/>
        <w:jc w:val="left"/>
        <w:rPr>
          <w:rFonts w:hint="eastAsia"/>
          <w:lang w:val="en-US" w:eastAsia="zh-CN"/>
        </w:rPr>
      </w:pPr>
    </w:p>
    <w:p w14:paraId="67AE08FC">
      <w:pPr>
        <w:keepNext w:val="0"/>
        <w:keepLines w:val="0"/>
        <w:widowControl/>
        <w:suppressLineNumbers w:val="0"/>
        <w:ind w:firstLine="420" w:firstLineChars="200"/>
        <w:jc w:val="left"/>
        <w:rPr>
          <w:rFonts w:hint="eastAsia"/>
          <w:lang w:val="en-US" w:eastAsia="zh-CN"/>
        </w:rPr>
      </w:pPr>
    </w:p>
    <w:p w14:paraId="375F1C66">
      <w:pPr>
        <w:keepNext w:val="0"/>
        <w:keepLines w:val="0"/>
        <w:widowControl/>
        <w:suppressLineNumbers w:val="0"/>
        <w:ind w:firstLine="420" w:firstLineChars="200"/>
        <w:jc w:val="left"/>
        <w:rPr>
          <w:rFonts w:hint="eastAsia"/>
          <w:lang w:val="en-US" w:eastAsia="zh-CN"/>
        </w:rPr>
      </w:pPr>
    </w:p>
    <w:p w14:paraId="1779EF2B">
      <w:pPr>
        <w:keepNext w:val="0"/>
        <w:keepLines w:val="0"/>
        <w:widowControl/>
        <w:suppressLineNumbers w:val="0"/>
        <w:ind w:firstLine="420" w:firstLineChars="200"/>
        <w:jc w:val="left"/>
        <w:rPr>
          <w:rFonts w:hint="eastAsia"/>
          <w:lang w:val="en-US" w:eastAsia="zh-CN"/>
        </w:rPr>
      </w:pPr>
    </w:p>
    <w:p w14:paraId="623EB1B3">
      <w:pPr>
        <w:keepNext w:val="0"/>
        <w:keepLines w:val="0"/>
        <w:widowControl/>
        <w:suppressLineNumbers w:val="0"/>
        <w:ind w:firstLine="420" w:firstLineChars="200"/>
        <w:jc w:val="left"/>
        <w:rPr>
          <w:rFonts w:hint="eastAsia"/>
          <w:lang w:val="en-US" w:eastAsia="zh-CN"/>
        </w:rPr>
      </w:pPr>
    </w:p>
    <w:p w14:paraId="064961C0">
      <w:pPr>
        <w:keepNext w:val="0"/>
        <w:keepLines w:val="0"/>
        <w:widowControl/>
        <w:suppressLineNumbers w:val="0"/>
        <w:ind w:firstLine="420" w:firstLineChars="200"/>
        <w:jc w:val="left"/>
        <w:rPr>
          <w:rFonts w:hint="eastAsia"/>
          <w:lang w:val="en-US" w:eastAsia="zh-CN"/>
        </w:rPr>
      </w:pPr>
    </w:p>
    <w:p w14:paraId="075D6C29">
      <w:pPr>
        <w:keepNext w:val="0"/>
        <w:keepLines w:val="0"/>
        <w:widowControl/>
        <w:suppressLineNumbers w:val="0"/>
        <w:ind w:firstLine="420" w:firstLineChars="200"/>
        <w:jc w:val="left"/>
        <w:rPr>
          <w:rFonts w:hint="eastAsia"/>
          <w:lang w:val="en-US" w:eastAsia="zh-CN"/>
        </w:rPr>
      </w:pPr>
    </w:p>
    <w:p w14:paraId="036787E7">
      <w:pPr>
        <w:keepNext w:val="0"/>
        <w:keepLines w:val="0"/>
        <w:widowControl/>
        <w:suppressLineNumbers w:val="0"/>
        <w:ind w:firstLine="560" w:firstLineChars="200"/>
        <w:jc w:val="center"/>
        <w:rPr>
          <w:rFonts w:hint="default"/>
          <w:sz w:val="28"/>
          <w:szCs w:val="28"/>
          <w:lang w:val="en-US" w:eastAsia="zh-CN"/>
        </w:rPr>
      </w:pPr>
      <w:r>
        <w:rPr>
          <w:rFonts w:hint="eastAsia"/>
          <w:sz w:val="28"/>
          <w:szCs w:val="28"/>
          <w:lang w:val="en-US" w:eastAsia="zh-CN"/>
        </w:rPr>
        <w:t>理财产品管理人：大连农村商业银行股份有限公司</w:t>
      </w:r>
    </w:p>
    <w:p w14:paraId="7D7F3B16">
      <w:pPr>
        <w:keepNext w:val="0"/>
        <w:keepLines w:val="0"/>
        <w:widowControl/>
        <w:suppressLineNumbers w:val="0"/>
        <w:ind w:firstLine="560" w:firstLineChars="200"/>
        <w:jc w:val="center"/>
        <w:rPr>
          <w:rFonts w:hint="default"/>
          <w:sz w:val="28"/>
          <w:szCs w:val="28"/>
          <w:lang w:val="en-US" w:eastAsia="zh-CN"/>
        </w:rPr>
      </w:pPr>
      <w:r>
        <w:rPr>
          <w:rFonts w:hint="eastAsia"/>
          <w:sz w:val="28"/>
          <w:szCs w:val="28"/>
          <w:lang w:val="en-US" w:eastAsia="zh-CN"/>
        </w:rPr>
        <w:t>理财产品托管人：宁波银行股份有限公司</w:t>
      </w:r>
    </w:p>
    <w:p w14:paraId="60F53B85">
      <w:pPr>
        <w:bidi w:val="0"/>
        <w:jc w:val="left"/>
        <w:rPr>
          <w:rFonts w:hint="default"/>
          <w:lang w:val="en-US" w:eastAsia="zh-CN"/>
        </w:rPr>
      </w:pPr>
    </w:p>
    <w:p w14:paraId="3C99BAF2">
      <w:pPr>
        <w:jc w:val="center"/>
        <w:rPr>
          <w:rFonts w:hint="eastAsia" w:ascii="仿宋" w:hAnsi="仿宋" w:eastAsia="仿宋"/>
          <w:color w:val="000000"/>
          <w:sz w:val="18"/>
          <w:szCs w:val="18"/>
        </w:rPr>
      </w:pPr>
      <w:r>
        <w:rPr>
          <w:rFonts w:hint="eastAsia" w:ascii="仿宋_GB2312" w:hAnsi="宋体" w:eastAsia="仿宋_GB2312" w:cs="仿宋_GB2312"/>
          <w:b/>
          <w:bCs/>
          <w:color w:val="000000"/>
          <w:sz w:val="31"/>
          <w:szCs w:val="31"/>
          <w:lang w:val="en-US" w:eastAsia="zh-CN"/>
        </w:rPr>
        <w:t>大连农商银行金浪花理财产品</w:t>
      </w:r>
      <w:r>
        <w:rPr>
          <w:rFonts w:ascii="仿宋_GB2312" w:hAnsi="宋体" w:eastAsia="仿宋_GB2312" w:cs="仿宋_GB2312"/>
          <w:b/>
          <w:bCs/>
          <w:color w:val="000000"/>
          <w:sz w:val="31"/>
          <w:szCs w:val="31"/>
        </w:rPr>
        <w:t>风险揭示书</w:t>
      </w:r>
    </w:p>
    <w:p w14:paraId="698047FA">
      <w:pPr>
        <w:rPr>
          <w:rFonts w:hint="eastAsia" w:ascii="仿宋" w:hAnsi="仿宋" w:eastAsia="仿宋"/>
          <w:color w:val="000000"/>
          <w:sz w:val="18"/>
          <w:szCs w:val="18"/>
        </w:rPr>
      </w:pPr>
      <w:r>
        <w:rPr>
          <w:rFonts w:hint="eastAsia" w:ascii="仿宋" w:hAnsi="仿宋" w:eastAsia="仿宋"/>
          <w:color w:val="000000"/>
          <w:sz w:val="18"/>
          <w:szCs w:val="18"/>
        </w:rPr>
        <w:t>尊敬的客户：</w:t>
      </w:r>
    </w:p>
    <w:p w14:paraId="6FC5A994">
      <w:pPr>
        <w:ind w:firstLine="360" w:firstLineChars="200"/>
        <w:rPr>
          <w:rFonts w:hint="eastAsia" w:asciiTheme="minorEastAsia" w:hAnsiTheme="minorEastAsia" w:eastAsiaTheme="minorEastAsia" w:cstheme="minorEastAsia"/>
          <w:sz w:val="24"/>
          <w:szCs w:val="24"/>
        </w:rPr>
      </w:pPr>
      <w:r>
        <w:rPr>
          <w:rFonts w:hint="eastAsia" w:ascii="仿宋" w:hAnsi="仿宋" w:eastAsia="仿宋"/>
          <w:color w:val="000000"/>
          <w:sz w:val="18"/>
          <w:szCs w:val="18"/>
        </w:rPr>
        <w:t>由于理财资金管理运用过程中，可能会面临多种风险因素，</w:t>
      </w:r>
      <w:r>
        <w:rPr>
          <w:rFonts w:hint="eastAsia" w:ascii="仿宋" w:hAnsi="仿宋" w:eastAsia="仿宋"/>
          <w:color w:val="000000"/>
          <w:sz w:val="18"/>
          <w:szCs w:val="18"/>
          <w:lang w:val="en-US" w:eastAsia="zh-CN"/>
        </w:rPr>
        <w:t>根据</w:t>
      </w:r>
      <w:r>
        <w:rPr>
          <w:rFonts w:hint="eastAsia" w:ascii="仿宋" w:hAnsi="仿宋" w:eastAsia="仿宋"/>
          <w:color w:val="000000"/>
          <w:sz w:val="18"/>
          <w:szCs w:val="18"/>
        </w:rPr>
        <w:t>监管规定的要求，在您选择购买本理财</w:t>
      </w:r>
      <w:r>
        <w:rPr>
          <w:rFonts w:hint="eastAsia" w:ascii="仿宋" w:hAnsi="仿宋" w:eastAsia="仿宋"/>
          <w:color w:val="000000"/>
          <w:sz w:val="18"/>
          <w:szCs w:val="18"/>
          <w:lang w:val="en-US" w:eastAsia="zh-CN"/>
        </w:rPr>
        <w:t>产品</w:t>
      </w:r>
      <w:r>
        <w:rPr>
          <w:rFonts w:hint="eastAsia" w:ascii="仿宋" w:hAnsi="仿宋" w:eastAsia="仿宋"/>
          <w:color w:val="000000"/>
          <w:sz w:val="18"/>
          <w:szCs w:val="18"/>
        </w:rPr>
        <w:t>前，请仔细阅读以下重要内容：</w:t>
      </w:r>
    </w:p>
    <w:p w14:paraId="68940D55">
      <w:pPr>
        <w:ind w:firstLine="361" w:firstLineChars="200"/>
        <w:rPr>
          <w:rFonts w:hint="eastAsia" w:ascii="仿宋" w:hAnsi="仿宋" w:eastAsia="仿宋"/>
          <w:color w:val="000000"/>
          <w:sz w:val="18"/>
          <w:szCs w:val="18"/>
        </w:rPr>
      </w:pPr>
      <w:r>
        <w:rPr>
          <w:rFonts w:hint="eastAsia" w:ascii="仿宋" w:hAnsi="仿宋" w:eastAsia="仿宋"/>
          <w:b/>
          <w:bCs/>
          <w:color w:val="000000"/>
          <w:sz w:val="18"/>
          <w:szCs w:val="18"/>
        </w:rPr>
        <w:t>本理财产品不保证本金和收益，您的本金可能会因市场变动而蒙受重大损失，您应充分认识投资风险，谨慎投资。</w:t>
      </w:r>
      <w:r>
        <w:rPr>
          <w:rFonts w:hint="eastAsia" w:ascii="仿宋" w:hAnsi="仿宋" w:eastAsia="仿宋"/>
          <w:color w:val="000000"/>
          <w:sz w:val="18"/>
          <w:szCs w:val="18"/>
        </w:rPr>
        <w:t>购买本理财产品，您将可能面临包括但不限于以下风险：</w:t>
      </w:r>
    </w:p>
    <w:p w14:paraId="250DD6CC">
      <w:pPr>
        <w:ind w:firstLine="360" w:firstLineChars="200"/>
        <w:rPr>
          <w:rFonts w:hint="eastAsia" w:ascii="仿宋" w:hAnsi="仿宋" w:eastAsia="仿宋"/>
          <w:color w:val="000000"/>
          <w:sz w:val="18"/>
          <w:szCs w:val="18"/>
        </w:rPr>
      </w:pPr>
      <w:r>
        <w:rPr>
          <w:rFonts w:hint="eastAsia" w:ascii="仿宋" w:hAnsi="仿宋" w:eastAsia="仿宋"/>
          <w:color w:val="000000"/>
          <w:sz w:val="18"/>
          <w:szCs w:val="18"/>
        </w:rPr>
        <w:t>政策风险：本理财产品是根据当前的相关法规和政策设计的，在产品的实际运作过程中，如国家宏观政策以及市场相关法规政策发生变化，可能影响理财产品的发行、投资、兑付等流程的正常进行，从而可能导致投资者的本金及收益遭受损失的风险。</w:t>
      </w:r>
    </w:p>
    <w:p w14:paraId="0CFAE1DC">
      <w:pPr>
        <w:ind w:firstLine="360" w:firstLineChars="200"/>
        <w:rPr>
          <w:rFonts w:hint="eastAsia" w:ascii="仿宋" w:hAnsi="仿宋" w:eastAsia="仿宋"/>
          <w:color w:val="000000"/>
          <w:sz w:val="18"/>
          <w:szCs w:val="18"/>
          <w:lang w:val="en-US" w:eastAsia="zh-CN"/>
        </w:rPr>
      </w:pPr>
      <w:r>
        <w:rPr>
          <w:rFonts w:hint="eastAsia" w:ascii="仿宋" w:hAnsi="仿宋" w:eastAsia="仿宋"/>
          <w:color w:val="000000"/>
          <w:sz w:val="18"/>
          <w:szCs w:val="18"/>
        </w:rPr>
        <w:t>市场风险：理财产品在运作过程中，由于市场变化造成产品所投资产价格波动、从而影响理财产品收益波动、甚至本金损失的风险。市场风险包括但不限于投资债券面临的利率变化及债券价格波动带来的风险。</w:t>
      </w:r>
    </w:p>
    <w:p w14:paraId="27C48034">
      <w:pPr>
        <w:ind w:firstLine="360" w:firstLineChars="200"/>
        <w:rPr>
          <w:rFonts w:hint="eastAsia" w:ascii="仿宋" w:hAnsi="仿宋" w:eastAsia="仿宋"/>
          <w:color w:val="000000"/>
          <w:sz w:val="18"/>
          <w:szCs w:val="18"/>
          <w:lang w:val="en-US" w:eastAsia="zh-CN"/>
        </w:rPr>
      </w:pPr>
      <w:r>
        <w:rPr>
          <w:rFonts w:hint="eastAsia" w:ascii="仿宋" w:hAnsi="仿宋" w:eastAsia="仿宋"/>
          <w:color w:val="000000"/>
          <w:sz w:val="18"/>
          <w:szCs w:val="18"/>
        </w:rPr>
        <w:t>信用风险：理财产品所投资的标准化资产或非标准化资产，可能会因为相关债务人或关联责任人（包括但不限于担保人）的经营情况不佳、财务状况恶化等不可预见因素出现信用违约事件，不能如期履约的风险，进而影响理财产品的投资组合价值，可能导致投资者的本金和收益遭受损失。</w:t>
      </w:r>
    </w:p>
    <w:p w14:paraId="51722E4A">
      <w:pPr>
        <w:ind w:firstLine="360" w:firstLineChars="200"/>
        <w:rPr>
          <w:rFonts w:hint="eastAsia" w:ascii="仿宋" w:hAnsi="仿宋" w:eastAsia="仿宋"/>
          <w:color w:val="000000"/>
          <w:sz w:val="18"/>
          <w:szCs w:val="18"/>
          <w:lang w:val="en-US" w:eastAsia="zh-CN"/>
        </w:rPr>
      </w:pPr>
      <w:r>
        <w:rPr>
          <w:rFonts w:hint="eastAsia" w:ascii="仿宋" w:hAnsi="仿宋" w:eastAsia="仿宋"/>
          <w:color w:val="000000"/>
          <w:sz w:val="18"/>
          <w:szCs w:val="18"/>
        </w:rPr>
        <w:t>流动性风险：在特定市场环境下，理财产品所投资的部分市场或资产可能出现流动性较差的情况，导致理财产品存在无法通过资产变现等途径以合理成本及时获得充足资金，用于满足投资者赎回需求、履行其他支付义务的风险。针对封闭式理财产品，在存续期内如果投资者产生流动性需求，可能面临理财产品不能随时变现、持有期与资金需求日不匹配的流动性风险。针对开放式产品，投资者只能在开放期的交易时间内进行申购、赎回，开放期内若发生巨额赎回，投资者也将面临不能及时赎回理财产品的流动性风险。</w:t>
      </w:r>
    </w:p>
    <w:p w14:paraId="214B5E19">
      <w:pPr>
        <w:rPr>
          <w:rFonts w:hint="eastAsia" w:ascii="仿宋" w:hAnsi="仿宋" w:eastAsia="仿宋"/>
          <w:color w:val="000000"/>
          <w:sz w:val="18"/>
          <w:szCs w:val="18"/>
        </w:rPr>
      </w:pPr>
      <w:r>
        <w:rPr>
          <w:rFonts w:hint="eastAsia" w:ascii="仿宋" w:hAnsi="仿宋" w:eastAsia="仿宋"/>
          <w:color w:val="000000"/>
          <w:sz w:val="18"/>
          <w:szCs w:val="18"/>
        </w:rPr>
        <w:t>产品管理人可以依照法律法规及产品说明书的约定，综合运用各项理财产品流动性风险应对措施：</w:t>
      </w:r>
    </w:p>
    <w:p w14:paraId="5D62630D">
      <w:pPr>
        <w:ind w:firstLine="360" w:firstLineChars="200"/>
        <w:rPr>
          <w:rFonts w:hint="eastAsia" w:ascii="仿宋" w:hAnsi="仿宋" w:eastAsia="仿宋"/>
          <w:color w:val="000000"/>
          <w:sz w:val="18"/>
          <w:szCs w:val="18"/>
        </w:rPr>
      </w:pPr>
      <w:r>
        <w:rPr>
          <w:rFonts w:hint="eastAsia" w:ascii="仿宋" w:hAnsi="仿宋" w:eastAsia="仿宋"/>
          <w:color w:val="000000"/>
          <w:sz w:val="18"/>
          <w:szCs w:val="18"/>
        </w:rPr>
        <w:t>认购风险应对措施包括：设定单一投资者认购金额上限、设定理财产品单日净认购比例上限、拒绝大额认购、暂停认购，以及国家金融监督管理总局规定的其他措施；</w:t>
      </w:r>
    </w:p>
    <w:p w14:paraId="783643F1">
      <w:pPr>
        <w:ind w:firstLine="360" w:firstLineChars="200"/>
        <w:rPr>
          <w:rFonts w:hint="eastAsia" w:ascii="仿宋" w:hAnsi="仿宋" w:eastAsia="仿宋"/>
          <w:color w:val="000000"/>
          <w:sz w:val="18"/>
          <w:szCs w:val="18"/>
          <w:lang w:val="en-US" w:eastAsia="zh-CN"/>
        </w:rPr>
      </w:pPr>
      <w:r>
        <w:rPr>
          <w:rFonts w:hint="eastAsia" w:ascii="仿宋" w:hAnsi="仿宋" w:eastAsia="仿宋"/>
          <w:color w:val="000000"/>
          <w:sz w:val="18"/>
          <w:szCs w:val="18"/>
        </w:rPr>
        <w:t>赎回风险应对措施包括：设置赎回上限、延期办理巨额赎回申请、暂停接受赎回申请、延缓支付赎回款项、收取短期赎回费、暂停理财产品估值、摆动定价，以及国家金融监督管理总局规定的其他措施。</w:t>
      </w:r>
    </w:p>
    <w:p w14:paraId="4B4E89ED">
      <w:pPr>
        <w:ind w:firstLine="360" w:firstLineChars="200"/>
        <w:rPr>
          <w:rFonts w:hint="eastAsia" w:ascii="仿宋" w:hAnsi="仿宋" w:eastAsia="仿宋"/>
          <w:color w:val="000000"/>
          <w:sz w:val="18"/>
          <w:szCs w:val="18"/>
        </w:rPr>
      </w:pPr>
      <w:r>
        <w:rPr>
          <w:rFonts w:hint="eastAsia" w:ascii="仿宋" w:hAnsi="仿宋" w:eastAsia="仿宋"/>
          <w:color w:val="000000"/>
          <w:sz w:val="18"/>
          <w:szCs w:val="18"/>
        </w:rPr>
        <w:t>上述理财产品流动性风险应对措施可能导致无法满足投资者对产品的部分或全部认（申）购或赎回需求，进而影响投资者的资金流动性安排。当产品管理人根据产品说明书中与投资者事先约定的相关措施的处理方法和程序接受投资者的认（申）购申请时，可能会造成理财产品投资收益摊薄、后续发生巨额赎回可能性增加等潜在影响。</w:t>
      </w:r>
    </w:p>
    <w:p w14:paraId="3E91D1E7">
      <w:pPr>
        <w:ind w:firstLine="360" w:firstLineChars="200"/>
        <w:rPr>
          <w:rFonts w:hint="eastAsia" w:ascii="仿宋" w:hAnsi="仿宋" w:eastAsia="仿宋"/>
          <w:color w:val="000000"/>
          <w:sz w:val="18"/>
          <w:szCs w:val="18"/>
        </w:rPr>
      </w:pPr>
      <w:r>
        <w:rPr>
          <w:rFonts w:hint="eastAsia" w:ascii="仿宋" w:hAnsi="仿宋" w:eastAsia="仿宋"/>
          <w:color w:val="000000"/>
          <w:sz w:val="18"/>
          <w:szCs w:val="18"/>
        </w:rPr>
        <w:t>管理风险：理财产品投资运作过程中，管理人（包括本理财产品的管理人、所投资的信托计划/资管计划的受托人/管理人（如有）、相关投资顾问（如有）等）的知识、经验、判断、决策、技能等，会影响其对信息的获取以及对经济形势、金融市场价格走势的判断，从而影响理财产品收益水平，管理人的管理手段和管理技术等因素的变化也会影响本理财产品的收益水平。</w:t>
      </w:r>
    </w:p>
    <w:p w14:paraId="2450D7C0">
      <w:pPr>
        <w:ind w:firstLine="360" w:firstLineChars="200"/>
        <w:rPr>
          <w:rFonts w:hint="default" w:ascii="仿宋" w:hAnsi="仿宋" w:eastAsia="仿宋"/>
          <w:color w:val="000000"/>
          <w:sz w:val="18"/>
          <w:szCs w:val="18"/>
          <w:lang w:val="en-US" w:eastAsia="zh-CN"/>
        </w:rPr>
      </w:pPr>
      <w:r>
        <w:rPr>
          <w:rFonts w:hint="eastAsia" w:ascii="仿宋" w:hAnsi="仿宋" w:eastAsia="仿宋"/>
          <w:color w:val="000000"/>
          <w:sz w:val="18"/>
          <w:szCs w:val="18"/>
        </w:rPr>
        <w:t>理财产品不成立风险：认购期结束，如理财产品的认购总金额未达到产品设定成立规模（如有约定），或国家宏观政策以及市场相关法规政策发生变化，或市场发生剧烈波动，或出现其他使得本理财产品无法正常成立的情况，且经产品管理人合理判断难以按照本产品说明书规定向投资者提供本理财产品，则产品管理人有权宣布本理财产品不成立。</w:t>
      </w:r>
    </w:p>
    <w:p w14:paraId="03474008">
      <w:pPr>
        <w:ind w:firstLine="360" w:firstLineChars="200"/>
        <w:rPr>
          <w:rFonts w:hint="default" w:ascii="仿宋" w:hAnsi="仿宋" w:eastAsia="仿宋"/>
          <w:color w:val="000000"/>
          <w:sz w:val="18"/>
          <w:szCs w:val="18"/>
          <w:lang w:val="en-US" w:eastAsia="zh-CN"/>
        </w:rPr>
      </w:pPr>
      <w:r>
        <w:rPr>
          <w:rFonts w:hint="eastAsia" w:ascii="仿宋" w:hAnsi="仿宋" w:eastAsia="仿宋"/>
          <w:color w:val="000000"/>
          <w:sz w:val="18"/>
          <w:szCs w:val="18"/>
        </w:rPr>
        <w:t>不达业绩比较基准的风险：产品的业绩比较基准为综合考虑产品的投资组合及同类产品过往业绩等因素测算而得，不代表产品业绩的未来表现，不作为产品管理人向您支付产品本金或收益的承诺。本产品为净值型产品，业绩表现将随市场情况波动，具有不确定性，产品业绩表现存在不达业绩基准的风险。</w:t>
      </w:r>
    </w:p>
    <w:p w14:paraId="14933A6E">
      <w:pPr>
        <w:ind w:firstLine="360" w:firstLineChars="200"/>
        <w:rPr>
          <w:rFonts w:hint="default" w:ascii="仿宋" w:hAnsi="仿宋" w:eastAsia="仿宋"/>
          <w:color w:val="000000"/>
          <w:sz w:val="18"/>
          <w:szCs w:val="18"/>
          <w:lang w:val="en-US" w:eastAsia="zh-CN"/>
        </w:rPr>
      </w:pPr>
      <w:r>
        <w:rPr>
          <w:rFonts w:hint="eastAsia" w:ascii="仿宋" w:hAnsi="仿宋" w:eastAsia="仿宋"/>
          <w:color w:val="000000"/>
          <w:sz w:val="18"/>
          <w:szCs w:val="18"/>
        </w:rPr>
        <w:t>提前终止及再投资风险：理财产品存续期内，产品管理人有权在特定情况下提前终止理财产品，一旦产品被提前终止，您可能面临不能继续持有产品的风险，则本理财产品的实际理财期可能小于预定期限，投资者将无法实现期初预</w:t>
      </w:r>
      <w:r>
        <w:rPr>
          <w:rFonts w:hint="eastAsia" w:ascii="仿宋" w:hAnsi="仿宋" w:eastAsia="仿宋"/>
          <w:color w:val="000000"/>
          <w:sz w:val="18"/>
          <w:szCs w:val="18"/>
          <w:lang w:val="en-US" w:eastAsia="zh-CN"/>
        </w:rPr>
        <w:t>定</w:t>
      </w:r>
      <w:r>
        <w:rPr>
          <w:rFonts w:hint="eastAsia" w:ascii="仿宋" w:hAnsi="仿宋" w:eastAsia="仿宋"/>
          <w:color w:val="000000"/>
          <w:sz w:val="18"/>
          <w:szCs w:val="18"/>
        </w:rPr>
        <w:t>期</w:t>
      </w:r>
      <w:r>
        <w:rPr>
          <w:rFonts w:hint="eastAsia" w:ascii="仿宋" w:hAnsi="仿宋" w:eastAsia="仿宋"/>
          <w:color w:val="000000"/>
          <w:sz w:val="18"/>
          <w:szCs w:val="18"/>
          <w:lang w:val="en-US" w:eastAsia="zh-CN"/>
        </w:rPr>
        <w:t>限</w:t>
      </w:r>
      <w:r>
        <w:rPr>
          <w:rFonts w:hint="eastAsia" w:ascii="仿宋" w:hAnsi="仿宋" w:eastAsia="仿宋"/>
          <w:color w:val="000000"/>
          <w:sz w:val="18"/>
          <w:szCs w:val="18"/>
        </w:rPr>
        <w:t>的全部收益，同时，投资者也可能面临理财产品提前终止后再投资的风险。</w:t>
      </w:r>
    </w:p>
    <w:p w14:paraId="15B0D9C0">
      <w:pPr>
        <w:ind w:firstLine="360" w:firstLineChars="200"/>
        <w:rPr>
          <w:rFonts w:hint="default" w:ascii="仿宋" w:hAnsi="仿宋" w:eastAsia="仿宋"/>
          <w:color w:val="000000"/>
          <w:sz w:val="18"/>
          <w:szCs w:val="18"/>
          <w:lang w:val="en-US" w:eastAsia="zh-CN"/>
        </w:rPr>
      </w:pPr>
      <w:r>
        <w:rPr>
          <w:rFonts w:hint="eastAsia" w:ascii="仿宋" w:hAnsi="仿宋" w:eastAsia="仿宋"/>
          <w:color w:val="000000"/>
          <w:sz w:val="18"/>
          <w:szCs w:val="18"/>
        </w:rPr>
        <w:t>延期风险：理财产品到期或您决定赎回本产品时，若出现所投资产无法顺利变现、市场发生重大变动或其他产品管理人认为需要延期支付的情形时，本产品将面临无法按时支付相关款项的风险。</w:t>
      </w:r>
    </w:p>
    <w:p w14:paraId="73B4D6E7">
      <w:pPr>
        <w:ind w:firstLine="360" w:firstLineChars="200"/>
        <w:rPr>
          <w:rFonts w:hint="default" w:ascii="仿宋" w:hAnsi="仿宋" w:eastAsia="仿宋"/>
          <w:color w:val="000000"/>
          <w:sz w:val="18"/>
          <w:szCs w:val="18"/>
          <w:lang w:val="en-US" w:eastAsia="zh-CN"/>
        </w:rPr>
      </w:pPr>
      <w:r>
        <w:rPr>
          <w:rFonts w:hint="eastAsia" w:ascii="仿宋" w:hAnsi="仿宋" w:eastAsia="仿宋"/>
          <w:color w:val="000000"/>
          <w:sz w:val="18"/>
          <w:szCs w:val="18"/>
        </w:rPr>
        <w:t>信息传递风险:本理财产品存续期内，相关信息将通过大连</w:t>
      </w:r>
      <w:r>
        <w:rPr>
          <w:rFonts w:hint="eastAsia" w:ascii="仿宋" w:hAnsi="仿宋" w:eastAsia="仿宋"/>
          <w:color w:val="000000"/>
          <w:sz w:val="18"/>
          <w:szCs w:val="18"/>
          <w:lang w:val="en-US" w:eastAsia="zh-CN"/>
        </w:rPr>
        <w:t>农商</w:t>
      </w:r>
      <w:r>
        <w:rPr>
          <w:rFonts w:hint="eastAsia" w:ascii="仿宋" w:hAnsi="仿宋" w:eastAsia="仿宋"/>
          <w:color w:val="000000"/>
          <w:sz w:val="18"/>
          <w:szCs w:val="18"/>
        </w:rPr>
        <w:t>银行官网或其他适当的方式进行信息披露（具体披露规则详见产品说明书），投资者应根据本理财产品说明书所载明的披露方式及时查询本理财产品的相关信息。 如投资者未及时查询，或因通讯、系统故障或其他不可抗力等因素的影响，导致投资者无法及时了解理财产品信息，并由此影响投资者的投资决策，因此而产生的责任和风险将由投资者自行承担。另外，投资者预留在大连</w:t>
      </w:r>
      <w:r>
        <w:rPr>
          <w:rFonts w:hint="eastAsia" w:ascii="仿宋" w:hAnsi="仿宋" w:eastAsia="仿宋"/>
          <w:color w:val="000000"/>
          <w:sz w:val="18"/>
          <w:szCs w:val="18"/>
          <w:lang w:val="en-US" w:eastAsia="zh-CN"/>
        </w:rPr>
        <w:t>农商</w:t>
      </w:r>
      <w:r>
        <w:rPr>
          <w:rFonts w:hint="eastAsia" w:ascii="仿宋" w:hAnsi="仿宋" w:eastAsia="仿宋"/>
          <w:color w:val="000000"/>
          <w:sz w:val="18"/>
          <w:szCs w:val="18"/>
        </w:rPr>
        <w:t>银行的有效联系方式若发生变更，应及时通知大连</w:t>
      </w:r>
      <w:r>
        <w:rPr>
          <w:rFonts w:hint="eastAsia" w:ascii="仿宋" w:hAnsi="仿宋" w:eastAsia="仿宋"/>
          <w:color w:val="000000"/>
          <w:sz w:val="18"/>
          <w:szCs w:val="18"/>
          <w:lang w:val="en-US" w:eastAsia="zh-CN"/>
        </w:rPr>
        <w:t>农商</w:t>
      </w:r>
      <w:r>
        <w:rPr>
          <w:rFonts w:hint="eastAsia" w:ascii="仿宋" w:hAnsi="仿宋" w:eastAsia="仿宋"/>
          <w:color w:val="000000"/>
          <w:sz w:val="18"/>
          <w:szCs w:val="18"/>
        </w:rPr>
        <w:t>银行。如因投资者未及时告知大连</w:t>
      </w:r>
      <w:r>
        <w:rPr>
          <w:rFonts w:hint="eastAsia" w:ascii="仿宋" w:hAnsi="仿宋" w:eastAsia="仿宋"/>
          <w:color w:val="000000"/>
          <w:sz w:val="18"/>
          <w:szCs w:val="18"/>
          <w:lang w:val="en-US" w:eastAsia="zh-CN"/>
        </w:rPr>
        <w:t>农商</w:t>
      </w:r>
      <w:r>
        <w:rPr>
          <w:rFonts w:hint="eastAsia" w:ascii="仿宋" w:hAnsi="仿宋" w:eastAsia="仿宋"/>
          <w:color w:val="000000"/>
          <w:sz w:val="18"/>
          <w:szCs w:val="18"/>
        </w:rPr>
        <w:t>银行联系方式变更或因投资者其他原因导致大连</w:t>
      </w:r>
      <w:r>
        <w:rPr>
          <w:rFonts w:hint="eastAsia" w:ascii="仿宋" w:hAnsi="仿宋" w:eastAsia="仿宋"/>
          <w:color w:val="000000"/>
          <w:sz w:val="18"/>
          <w:szCs w:val="18"/>
          <w:lang w:val="en-US" w:eastAsia="zh-CN"/>
        </w:rPr>
        <w:t>农商</w:t>
      </w:r>
      <w:r>
        <w:rPr>
          <w:rFonts w:hint="eastAsia" w:ascii="仿宋" w:hAnsi="仿宋" w:eastAsia="仿宋"/>
          <w:color w:val="000000"/>
          <w:sz w:val="18"/>
          <w:szCs w:val="18"/>
        </w:rPr>
        <w:t>银行在需要联系投资者时无法及时联系投资者，可能会因此影响投资者的投资决策，由此而产生的责任和风险由投资者自行承担。</w:t>
      </w:r>
    </w:p>
    <w:p w14:paraId="739D6D35">
      <w:pPr>
        <w:ind w:firstLine="360" w:firstLineChars="200"/>
        <w:rPr>
          <w:rFonts w:hint="default" w:ascii="仿宋" w:hAnsi="仿宋" w:eastAsia="仿宋"/>
          <w:color w:val="000000"/>
          <w:sz w:val="18"/>
          <w:szCs w:val="18"/>
          <w:lang w:val="en-US" w:eastAsia="zh-CN"/>
        </w:rPr>
      </w:pPr>
      <w:r>
        <w:rPr>
          <w:rFonts w:hint="eastAsia" w:ascii="仿宋" w:hAnsi="仿宋" w:eastAsia="仿宋"/>
          <w:color w:val="000000"/>
          <w:sz w:val="18"/>
          <w:szCs w:val="18"/>
        </w:rPr>
        <w:t>不可抗力及意外事件风险：战争、自然灾害、重大政治事件等不可抗力因素或非大连</w:t>
      </w:r>
      <w:r>
        <w:rPr>
          <w:rFonts w:hint="eastAsia" w:ascii="仿宋" w:hAnsi="仿宋" w:eastAsia="仿宋"/>
          <w:color w:val="000000"/>
          <w:sz w:val="18"/>
          <w:szCs w:val="18"/>
          <w:lang w:val="en-US" w:eastAsia="zh-CN"/>
        </w:rPr>
        <w:t>农商</w:t>
      </w:r>
      <w:r>
        <w:rPr>
          <w:rFonts w:hint="eastAsia" w:ascii="仿宋" w:hAnsi="仿宋" w:eastAsia="仿宋"/>
          <w:color w:val="000000"/>
          <w:sz w:val="18"/>
          <w:szCs w:val="18"/>
        </w:rPr>
        <w:t>银行原因的系统故障、投资市场停止交易等意外事件，可能严重影响理财产品的发行、投资、兑付等流程的正常进行，从而可能导致投资者的本金及收益遭受损失。对于由不可抗力及意外事件所导致的损失，投资者须自行承担，大连</w:t>
      </w:r>
      <w:r>
        <w:rPr>
          <w:rFonts w:hint="eastAsia" w:ascii="仿宋" w:hAnsi="仿宋" w:eastAsia="仿宋"/>
          <w:color w:val="000000"/>
          <w:sz w:val="18"/>
          <w:szCs w:val="18"/>
          <w:lang w:val="en-US" w:eastAsia="zh-CN"/>
        </w:rPr>
        <w:t>农商</w:t>
      </w:r>
      <w:r>
        <w:rPr>
          <w:rFonts w:hint="eastAsia" w:ascii="仿宋" w:hAnsi="仿宋" w:eastAsia="仿宋"/>
          <w:color w:val="000000"/>
          <w:sz w:val="18"/>
          <w:szCs w:val="18"/>
        </w:rPr>
        <w:t>银行对此不承担任何责任。</w:t>
      </w:r>
    </w:p>
    <w:p w14:paraId="129AC50F">
      <w:pPr>
        <w:ind w:firstLine="360" w:firstLineChars="200"/>
        <w:rPr>
          <w:rFonts w:hint="default" w:ascii="仿宋" w:hAnsi="仿宋" w:eastAsia="仿宋"/>
          <w:color w:val="000000"/>
          <w:sz w:val="18"/>
          <w:szCs w:val="18"/>
          <w:lang w:val="en-US" w:eastAsia="zh-CN"/>
        </w:rPr>
      </w:pPr>
      <w:r>
        <w:rPr>
          <w:rFonts w:hint="eastAsia" w:ascii="仿宋" w:hAnsi="仿宋" w:eastAsia="仿宋"/>
          <w:color w:val="000000"/>
          <w:sz w:val="18"/>
          <w:szCs w:val="18"/>
        </w:rPr>
        <w:t>操作风险：如产品管理人由于内部作业、人员管理、系统操作及事务处理不当或失误等，可能导致本理财产品的本金及收益遭受损失。如信托计划、资管计划、基金的受托人 (如有)、管理人(如有)、相关投资顾问(如有)、所投资基金或资管计划的代理销售服务机构(如有)等及其内部作业、人员管理及系统操作不当或失误，或违背相关合同约定、未严格执行风险控制措施、处理事务不当等，可能导致本理财</w:t>
      </w:r>
      <w:r>
        <w:rPr>
          <w:rFonts w:hint="eastAsia" w:ascii="仿宋" w:hAnsi="仿宋" w:eastAsia="仿宋"/>
          <w:color w:val="000000"/>
          <w:sz w:val="18"/>
          <w:szCs w:val="18"/>
          <w:lang w:val="en-US" w:eastAsia="zh-CN"/>
        </w:rPr>
        <w:t>产品</w:t>
      </w:r>
      <w:r>
        <w:rPr>
          <w:rFonts w:hint="eastAsia" w:ascii="仿宋" w:hAnsi="仿宋" w:eastAsia="仿宋"/>
          <w:color w:val="000000"/>
          <w:sz w:val="18"/>
          <w:szCs w:val="18"/>
        </w:rPr>
        <w:t>项下的理财资金遭受损失，产品管理人将代表理财产品对相关方进行追偿。</w:t>
      </w:r>
    </w:p>
    <w:p w14:paraId="146D0DAD">
      <w:pPr>
        <w:ind w:firstLine="360" w:firstLineChars="200"/>
        <w:rPr>
          <w:rFonts w:hint="default" w:ascii="仿宋" w:hAnsi="仿宋" w:eastAsia="仿宋"/>
          <w:color w:val="000000"/>
          <w:sz w:val="18"/>
          <w:szCs w:val="18"/>
          <w:lang w:val="en-US" w:eastAsia="zh-CN"/>
        </w:rPr>
      </w:pPr>
      <w:r>
        <w:rPr>
          <w:rFonts w:hint="eastAsia" w:ascii="仿宋" w:hAnsi="仿宋" w:eastAsia="仿宋"/>
          <w:color w:val="000000"/>
          <w:sz w:val="18"/>
          <w:szCs w:val="18"/>
        </w:rPr>
        <w:t>税务风险：根据国家相关法律法规，理财产品运营过程中发生的应由理财产品承担的增值税应税行为，由本产品管理人申报和缴纳增值税及附加税费。该税款将直接从理财产品中扣付缴纳，本理财产品将因为增值税等税负承担导致</w:t>
      </w:r>
      <w:r>
        <w:rPr>
          <w:rFonts w:hint="eastAsia" w:ascii="仿宋" w:hAnsi="仿宋" w:eastAsia="仿宋"/>
          <w:color w:val="000000"/>
          <w:sz w:val="18"/>
          <w:szCs w:val="18"/>
          <w:lang w:val="en-US" w:eastAsia="zh-CN"/>
        </w:rPr>
        <w:t>产品</w:t>
      </w:r>
      <w:r>
        <w:rPr>
          <w:rFonts w:hint="eastAsia" w:ascii="仿宋" w:hAnsi="仿宋" w:eastAsia="仿宋"/>
          <w:color w:val="000000"/>
          <w:sz w:val="18"/>
          <w:szCs w:val="18"/>
        </w:rPr>
        <w:t>税费支出增加、理财产品净值或实际收益降低，从而降低产品投资人的收益水平。</w:t>
      </w:r>
    </w:p>
    <w:p w14:paraId="258F69E0">
      <w:pPr>
        <w:ind w:firstLine="360" w:firstLineChars="200"/>
        <w:rPr>
          <w:rFonts w:hint="eastAsia" w:ascii="仿宋" w:hAnsi="仿宋" w:eastAsia="仿宋"/>
          <w:color w:val="000000"/>
          <w:sz w:val="18"/>
          <w:szCs w:val="18"/>
          <w:lang w:val="en-US" w:eastAsia="zh-CN"/>
        </w:rPr>
      </w:pPr>
      <w:r>
        <w:rPr>
          <w:rFonts w:hint="eastAsia" w:ascii="仿宋" w:hAnsi="仿宋" w:eastAsia="仿宋"/>
          <w:color w:val="000000"/>
          <w:sz w:val="18"/>
          <w:szCs w:val="18"/>
        </w:rPr>
        <w:t>投资标的特有风险</w:t>
      </w:r>
      <w:r>
        <w:rPr>
          <w:rFonts w:hint="eastAsia" w:ascii="仿宋" w:hAnsi="仿宋" w:eastAsia="仿宋"/>
          <w:color w:val="000000"/>
          <w:sz w:val="18"/>
          <w:szCs w:val="18"/>
          <w:lang w:eastAsia="zh-CN"/>
        </w:rPr>
        <w:t>：</w:t>
      </w:r>
    </w:p>
    <w:p w14:paraId="08BA262C">
      <w:pPr>
        <w:ind w:firstLine="360" w:firstLineChars="200"/>
        <w:rPr>
          <w:rFonts w:hint="default" w:ascii="仿宋" w:hAnsi="仿宋" w:eastAsia="仿宋"/>
          <w:color w:val="000000"/>
          <w:sz w:val="18"/>
          <w:szCs w:val="18"/>
          <w:lang w:val="en-US" w:eastAsia="zh-CN"/>
        </w:rPr>
      </w:pPr>
      <w:r>
        <w:rPr>
          <w:rFonts w:hint="eastAsia" w:ascii="仿宋" w:hAnsi="仿宋" w:eastAsia="仿宋"/>
          <w:color w:val="000000"/>
          <w:sz w:val="18"/>
          <w:szCs w:val="18"/>
        </w:rPr>
        <w:t xml:space="preserve">（1）货币市场工具投资风险：1）本理财产品作为资金借出方参与货币市场工具交易时，交易对手可能无法及时偿还全部或部分本金和/或收益，导致理财产品收益下降甚至本金损失；2）本理财产品作为资金借入方参与货币市场工具交易时，交易利率可能大于债券投资收益，进而导致理财产品收益下降甚至本金损失；3）本理财产品作为资金借入方参与货币市场工具交易，将增大产品投资总量，放大投资组合风险，资金借入比例越高，风险暴露程度越高，理财产品收益下降甚至本金损失的可能性越大。 </w:t>
      </w:r>
    </w:p>
    <w:p w14:paraId="5C203C16">
      <w:pPr>
        <w:rPr>
          <w:rFonts w:hint="eastAsia" w:ascii="仿宋" w:hAnsi="仿宋" w:eastAsia="仿宋"/>
          <w:color w:val="000000"/>
          <w:sz w:val="18"/>
          <w:szCs w:val="18"/>
        </w:rPr>
      </w:pPr>
      <w:r>
        <w:rPr>
          <w:rFonts w:hint="eastAsia" w:ascii="仿宋" w:hAnsi="仿宋" w:eastAsia="仿宋"/>
          <w:color w:val="000000"/>
          <w:sz w:val="18"/>
          <w:szCs w:val="18"/>
          <w:lang w:val="en-US" w:eastAsia="zh-CN"/>
        </w:rPr>
        <w:t>（2）</w:t>
      </w:r>
      <w:r>
        <w:rPr>
          <w:rFonts w:hint="eastAsia" w:ascii="仿宋" w:hAnsi="仿宋" w:eastAsia="仿宋"/>
          <w:color w:val="000000"/>
          <w:sz w:val="18"/>
          <w:szCs w:val="18"/>
        </w:rPr>
        <w:t xml:space="preserve">债券投资风险：国家政策、经济周期、利率、汇率等因素可能发生变化导致的市场风险；债券发行人的经营状况、信用质量降低等可能发生变化导致的信用风险；非公开定向债务融资工具、非公开发行公司债可能的流通和转让限制导致的流动性风险等。 </w:t>
      </w:r>
    </w:p>
    <w:p w14:paraId="747F5446">
      <w:pPr>
        <w:rPr>
          <w:rFonts w:hint="eastAsia" w:ascii="仿宋" w:hAnsi="仿宋" w:eastAsia="仿宋"/>
          <w:color w:val="000000"/>
          <w:sz w:val="18"/>
          <w:szCs w:val="18"/>
        </w:rPr>
      </w:pPr>
      <w:r>
        <w:rPr>
          <w:rFonts w:hint="eastAsia" w:ascii="仿宋" w:hAnsi="仿宋" w:eastAsia="仿宋"/>
          <w:color w:val="000000"/>
          <w:sz w:val="18"/>
          <w:szCs w:val="18"/>
        </w:rPr>
        <w:t>（3）资产支持证券投资风险：资产支持证券项下的基础资产现金流可能未及时完整取得导致的信用风险；资产支持证券可能存在市场成交量不足、缺乏意愿交易对手导致的流动性风险等。</w:t>
      </w:r>
    </w:p>
    <w:p w14:paraId="7610E391">
      <w:pPr>
        <w:rPr>
          <w:rFonts w:hint="eastAsia" w:ascii="仿宋" w:hAnsi="仿宋" w:eastAsia="仿宋"/>
          <w:color w:val="000000"/>
          <w:sz w:val="18"/>
          <w:szCs w:val="18"/>
        </w:rPr>
      </w:pPr>
      <w:r>
        <w:rPr>
          <w:rFonts w:hint="eastAsia" w:ascii="仿宋" w:hAnsi="仿宋" w:eastAsia="仿宋"/>
          <w:color w:val="000000"/>
          <w:sz w:val="18"/>
          <w:szCs w:val="18"/>
        </w:rPr>
        <w:t xml:space="preserve">（4）非标准化债权投资风险：融资方还款履约能力可能发生变化导致的信用风险；债务人提前还款或逾期还款的风险；担保人未能履行担保义务的风险等。 </w:t>
      </w:r>
    </w:p>
    <w:p w14:paraId="09133188">
      <w:pPr>
        <w:rPr>
          <w:rFonts w:hint="eastAsia" w:ascii="仿宋" w:hAnsi="仿宋" w:eastAsia="仿宋"/>
          <w:color w:val="000000"/>
          <w:sz w:val="18"/>
          <w:szCs w:val="18"/>
        </w:rPr>
      </w:pPr>
      <w:r>
        <w:rPr>
          <w:rFonts w:hint="eastAsia" w:ascii="仿宋" w:hAnsi="仿宋" w:eastAsia="仿宋"/>
          <w:color w:val="000000"/>
          <w:sz w:val="18"/>
          <w:szCs w:val="18"/>
        </w:rPr>
        <w:t>（</w:t>
      </w:r>
      <w:r>
        <w:rPr>
          <w:rFonts w:hint="eastAsia" w:ascii="仿宋" w:hAnsi="仿宋" w:eastAsia="仿宋"/>
          <w:color w:val="000000"/>
          <w:sz w:val="18"/>
          <w:szCs w:val="18"/>
          <w:lang w:val="en-US" w:eastAsia="zh-CN"/>
        </w:rPr>
        <w:t>5</w:t>
      </w:r>
      <w:r>
        <w:rPr>
          <w:rFonts w:hint="eastAsia" w:ascii="仿宋" w:hAnsi="仿宋" w:eastAsia="仿宋"/>
          <w:color w:val="000000"/>
          <w:sz w:val="18"/>
          <w:szCs w:val="18"/>
        </w:rPr>
        <w:t>）资产管理产品投资风险：本理财产品投资其他资管产品，或通过其他资产管理产品投资时，可能因相关受托人违反法律法规或合同约定、未尽职或发生其他情形，造成本理财产品所投资的资产管理产品的财产损失，进而导致本理财产品收益下降甚至本金损失。</w:t>
      </w:r>
    </w:p>
    <w:p w14:paraId="4CDA19BB">
      <w:pPr>
        <w:ind w:firstLine="360" w:firstLineChars="200"/>
        <w:rPr>
          <w:rFonts w:hint="eastAsia" w:ascii="仿宋" w:hAnsi="仿宋" w:eastAsia="仿宋"/>
          <w:color w:val="000000"/>
          <w:sz w:val="18"/>
          <w:szCs w:val="18"/>
        </w:rPr>
      </w:pPr>
      <w:r>
        <w:rPr>
          <w:rFonts w:hint="eastAsia" w:ascii="仿宋" w:hAnsi="仿宋" w:eastAsia="仿宋"/>
          <w:color w:val="000000"/>
          <w:sz w:val="18"/>
          <w:szCs w:val="18"/>
        </w:rPr>
        <w:t>本理财产品类型为非保本浮动收益型，</w:t>
      </w:r>
      <w:r>
        <w:rPr>
          <w:rFonts w:hint="eastAsia" w:ascii="仿宋" w:hAnsi="仿宋" w:eastAsia="仿宋"/>
          <w:b/>
          <w:bCs/>
          <w:color w:val="000000"/>
          <w:sz w:val="18"/>
          <w:szCs w:val="18"/>
        </w:rPr>
        <w:t>风险等级为 R2 级（中低风险）</w:t>
      </w:r>
      <w:r>
        <w:rPr>
          <w:rFonts w:hint="eastAsia" w:ascii="仿宋" w:hAnsi="仿宋" w:eastAsia="仿宋"/>
          <w:color w:val="000000"/>
          <w:sz w:val="18"/>
          <w:szCs w:val="18"/>
        </w:rPr>
        <w:t>，本风险等级为产品管理人内部风险等级评定结果，仅供投资者参考。当市场环境等因素发生变化，产品管理人在符合监管政策要求下可对产品风险等级进行动态管理，并根据本产品说明中约定的信息披露规则进行披露。本理财产品适合风险承受能力评级为</w:t>
      </w:r>
      <w:r>
        <w:rPr>
          <w:rFonts w:hint="eastAsia" w:ascii="仿宋" w:hAnsi="仿宋" w:eastAsia="仿宋"/>
          <w:b/>
          <w:bCs/>
          <w:color w:val="000000"/>
          <w:sz w:val="18"/>
          <w:szCs w:val="18"/>
        </w:rPr>
        <w:t xml:space="preserve"> C2（稳健型）、C3（平衡型）、C4（进取型）、C5（激进型）</w:t>
      </w:r>
      <w:r>
        <w:rPr>
          <w:rFonts w:hint="eastAsia" w:ascii="仿宋" w:hAnsi="仿宋" w:eastAsia="仿宋"/>
          <w:color w:val="000000"/>
          <w:sz w:val="18"/>
          <w:szCs w:val="18"/>
        </w:rPr>
        <w:t>的投资者购买。如影响您风险承受能力的因素发生变化，请及时完成风险承受能力评估。</w:t>
      </w:r>
    </w:p>
    <w:p w14:paraId="4B99DFF0">
      <w:pPr>
        <w:ind w:firstLine="360" w:firstLineChars="200"/>
        <w:rPr>
          <w:rFonts w:hint="eastAsia" w:ascii="仿宋" w:hAnsi="仿宋" w:eastAsia="仿宋"/>
          <w:color w:val="000000"/>
          <w:sz w:val="18"/>
          <w:szCs w:val="18"/>
        </w:rPr>
      </w:pPr>
      <w:r>
        <w:rPr>
          <w:rFonts w:hint="eastAsia" w:ascii="仿宋" w:hAnsi="仿宋" w:eastAsia="仿宋"/>
          <w:color w:val="000000"/>
          <w:sz w:val="18"/>
          <w:szCs w:val="18"/>
        </w:rPr>
        <w:t>在您签署本理财协议前，应当仔细阅读本风险揭示书及本产品说明书的全部内容，确保您已了解自己的风险承受能力、理财产品具体信息及风险，并独立、自主、谨慎做出是否购买本理财产品的决定。您签署本风险揭示书、理财产品协议书、客户权益须知，并将资金委托给大连</w:t>
      </w:r>
      <w:r>
        <w:rPr>
          <w:rFonts w:hint="eastAsia" w:ascii="仿宋" w:hAnsi="仿宋" w:eastAsia="仿宋"/>
          <w:color w:val="000000"/>
          <w:sz w:val="18"/>
          <w:szCs w:val="18"/>
          <w:lang w:val="en-US" w:eastAsia="zh-CN"/>
        </w:rPr>
        <w:t>农商</w:t>
      </w:r>
      <w:r>
        <w:rPr>
          <w:rFonts w:hint="eastAsia" w:ascii="仿宋" w:hAnsi="仿宋" w:eastAsia="仿宋"/>
          <w:color w:val="000000"/>
          <w:sz w:val="18"/>
          <w:szCs w:val="18"/>
        </w:rPr>
        <w:t>银行运作是您真实的意思表示。本风险揭示书及相应理财产品协议书、产品说明书、客户权益须知将共同构成理财合同的有效组成部分。</w:t>
      </w:r>
    </w:p>
    <w:p w14:paraId="29B705FB">
      <w:pPr>
        <w:ind w:firstLine="361" w:firstLineChars="200"/>
        <w:rPr>
          <w:rFonts w:hint="eastAsia" w:ascii="仿宋" w:hAnsi="仿宋" w:eastAsia="仿宋"/>
          <w:b/>
          <w:bCs/>
          <w:color w:val="000000"/>
          <w:sz w:val="18"/>
          <w:szCs w:val="18"/>
        </w:rPr>
      </w:pPr>
      <w:r>
        <w:rPr>
          <w:rFonts w:hint="eastAsia" w:ascii="仿宋" w:hAnsi="仿宋" w:eastAsia="仿宋"/>
          <w:b/>
          <w:bCs/>
          <w:color w:val="000000"/>
          <w:sz w:val="18"/>
          <w:szCs w:val="18"/>
        </w:rPr>
        <w:t>【投资者确认栏】本人确认购买该理财产品为本人真实的意思表示,并认为该理财产品完全适合本人的投资目标、投资预期以及风险承受能力。本人确认大连</w:t>
      </w:r>
      <w:r>
        <w:rPr>
          <w:rFonts w:hint="eastAsia" w:ascii="仿宋" w:hAnsi="仿宋" w:eastAsia="仿宋"/>
          <w:b/>
          <w:bCs/>
          <w:color w:val="000000"/>
          <w:sz w:val="18"/>
          <w:szCs w:val="18"/>
          <w:lang w:val="en-US" w:eastAsia="zh-CN"/>
        </w:rPr>
        <w:t>农商</w:t>
      </w:r>
      <w:r>
        <w:rPr>
          <w:rFonts w:hint="eastAsia" w:ascii="仿宋" w:hAnsi="仿宋" w:eastAsia="仿宋"/>
          <w:b/>
          <w:bCs/>
          <w:color w:val="000000"/>
          <w:sz w:val="18"/>
          <w:szCs w:val="18"/>
        </w:rPr>
        <w:t>银行相关业务人员对于产品说明书中限制本人权利、增加本人义务以及有关免除、限制大连</w:t>
      </w:r>
      <w:r>
        <w:rPr>
          <w:rFonts w:hint="eastAsia" w:ascii="仿宋" w:hAnsi="仿宋" w:eastAsia="仿宋"/>
          <w:b/>
          <w:bCs/>
          <w:color w:val="000000"/>
          <w:sz w:val="18"/>
          <w:szCs w:val="18"/>
          <w:lang w:val="en-US" w:eastAsia="zh-CN"/>
        </w:rPr>
        <w:t>农商</w:t>
      </w:r>
      <w:r>
        <w:rPr>
          <w:rFonts w:hint="eastAsia" w:ascii="仿宋" w:hAnsi="仿宋" w:eastAsia="仿宋"/>
          <w:b/>
          <w:bCs/>
          <w:color w:val="000000"/>
          <w:sz w:val="18"/>
          <w:szCs w:val="18"/>
        </w:rPr>
        <w:t>银行责任或大连</w:t>
      </w:r>
      <w:r>
        <w:rPr>
          <w:rFonts w:hint="eastAsia" w:ascii="仿宋" w:hAnsi="仿宋" w:eastAsia="仿宋"/>
          <w:b/>
          <w:bCs/>
          <w:color w:val="000000"/>
          <w:sz w:val="18"/>
          <w:szCs w:val="18"/>
          <w:lang w:val="en-US" w:eastAsia="zh-CN"/>
        </w:rPr>
        <w:t>农商</w:t>
      </w:r>
      <w:r>
        <w:rPr>
          <w:rFonts w:hint="eastAsia" w:ascii="仿宋" w:hAnsi="仿宋" w:eastAsia="仿宋"/>
          <w:b/>
          <w:bCs/>
          <w:color w:val="000000"/>
          <w:sz w:val="18"/>
          <w:szCs w:val="18"/>
        </w:rPr>
        <w:t>银行单方面拥有某些权利的条款已向本人予以说明，本人已完全理解并自愿接受。</w:t>
      </w:r>
    </w:p>
    <w:p w14:paraId="5FBDA4D9">
      <w:pPr>
        <w:ind w:firstLine="360" w:firstLineChars="200"/>
        <w:rPr>
          <w:rFonts w:hint="eastAsia" w:ascii="仿宋" w:hAnsi="仿宋" w:eastAsia="仿宋"/>
          <w:color w:val="000000"/>
          <w:sz w:val="18"/>
          <w:szCs w:val="18"/>
        </w:rPr>
      </w:pPr>
      <w:r>
        <w:rPr>
          <w:rFonts w:hint="eastAsia" w:ascii="仿宋" w:hAnsi="仿宋" w:eastAsia="仿宋"/>
          <w:color w:val="000000"/>
          <w:sz w:val="18"/>
          <w:szCs w:val="18"/>
        </w:rPr>
        <w:t>以下内容由投资者填写（如通过线上渠道购买，认（申）购确认即视为您同意自身风险承受能力评级并确认风险揭示内容，愿意承担投资风险，该等确认与书面签署具有同等效力，无需另行签署纸质文件）：</w:t>
      </w:r>
    </w:p>
    <w:p w14:paraId="7F72E227">
      <w:pPr>
        <w:rPr>
          <w:rFonts w:hint="eastAsia" w:ascii="仿宋" w:hAnsi="仿宋" w:eastAsia="仿宋"/>
          <w:color w:val="000000"/>
          <w:sz w:val="18"/>
          <w:szCs w:val="18"/>
        </w:rPr>
      </w:pPr>
      <w:r>
        <w:rPr>
          <w:rFonts w:hint="eastAsia" w:ascii="仿宋" w:hAnsi="仿宋" w:eastAsia="仿宋"/>
          <w:color w:val="000000"/>
          <w:sz w:val="18"/>
          <w:szCs w:val="18"/>
        </w:rPr>
        <w:t>本人风险承受能力评级为：</w:t>
      </w:r>
    </w:p>
    <w:p w14:paraId="30FABF07">
      <w:pPr>
        <w:ind w:firstLine="360" w:firstLineChars="200"/>
        <w:rPr>
          <w:rFonts w:hint="eastAsia" w:ascii="仿宋" w:hAnsi="仿宋" w:eastAsia="仿宋"/>
          <w:color w:val="000000"/>
          <w:sz w:val="18"/>
          <w:szCs w:val="18"/>
        </w:rPr>
      </w:pPr>
      <w:r>
        <w:rPr>
          <w:rFonts w:hint="eastAsia" w:ascii="仿宋" w:hAnsi="仿宋" w:eastAsia="仿宋"/>
          <w:color w:val="000000"/>
          <w:sz w:val="18"/>
          <w:szCs w:val="18"/>
        </w:rPr>
        <w:t xml:space="preserve">□C1 谨慎型□C2 稳健型□C3 平衡型□C4 进取型□C5 激进型 </w:t>
      </w:r>
    </w:p>
    <w:p w14:paraId="67EA23A7">
      <w:pPr>
        <w:ind w:firstLine="360" w:firstLineChars="200"/>
        <w:rPr>
          <w:rFonts w:hint="eastAsia" w:ascii="仿宋" w:hAnsi="仿宋" w:eastAsia="仿宋"/>
          <w:color w:val="000000"/>
          <w:sz w:val="18"/>
          <w:szCs w:val="18"/>
        </w:rPr>
      </w:pPr>
      <w:r>
        <w:rPr>
          <w:rFonts w:hint="eastAsia" w:ascii="仿宋" w:hAnsi="仿宋" w:eastAsia="仿宋"/>
          <w:color w:val="000000"/>
          <w:sz w:val="18"/>
          <w:szCs w:val="18"/>
        </w:rPr>
        <w:t>（投资者需全文抄录以下文字以完成确认：本人已经阅读风险揭示书，愿意承担投资风险。）</w:t>
      </w:r>
    </w:p>
    <w:p w14:paraId="1DC6AD0F">
      <w:pPr>
        <w:numPr>
          <w:ilvl w:val="0"/>
          <w:numId w:val="0"/>
        </w:numPr>
        <w:bidi w:val="0"/>
        <w:ind w:firstLine="400" w:firstLineChars="200"/>
        <w:jc w:val="left"/>
        <w:rPr>
          <w:rFonts w:hint="eastAsia" w:ascii="仿宋_GB2312" w:hAnsi="宋体" w:eastAsia="仿宋_GB2312" w:cs="仿宋_GB2312"/>
          <w:b w:val="0"/>
          <w:bCs w:val="0"/>
          <w:color w:val="000000"/>
          <w:sz w:val="20"/>
          <w:szCs w:val="20"/>
        </w:rPr>
      </w:pPr>
    </w:p>
    <w:p w14:paraId="6DFB0CFE">
      <w:pPr>
        <w:rPr>
          <w:rFonts w:hint="default" w:ascii="仿宋" w:hAnsi="仿宋" w:eastAsia="仿宋"/>
          <w:color w:val="000000"/>
          <w:sz w:val="18"/>
          <w:szCs w:val="18"/>
          <w:u w:val="none"/>
          <w:lang w:val="en-US" w:eastAsia="zh-CN"/>
        </w:rPr>
      </w:pPr>
      <w:r>
        <w:rPr>
          <w:rFonts w:hint="eastAsia" w:ascii="仿宋" w:hAnsi="仿宋" w:eastAsia="仿宋"/>
          <w:color w:val="000000"/>
          <w:sz w:val="18"/>
          <w:szCs w:val="18"/>
          <w:u w:val="single"/>
          <w:lang w:val="en-US" w:eastAsia="zh-CN"/>
        </w:rPr>
        <w:t xml:space="preserve">                                                                                                </w:t>
      </w:r>
      <w:r>
        <w:rPr>
          <w:rFonts w:hint="eastAsia" w:ascii="仿宋" w:hAnsi="仿宋" w:eastAsia="仿宋"/>
          <w:color w:val="000000"/>
          <w:sz w:val="18"/>
          <w:szCs w:val="18"/>
          <w:u w:val="none"/>
          <w:lang w:val="en-US" w:eastAsia="zh-CN"/>
        </w:rPr>
        <w:t xml:space="preserve">   </w:t>
      </w:r>
    </w:p>
    <w:p w14:paraId="776D3EFE">
      <w:pPr>
        <w:rPr>
          <w:rFonts w:hint="eastAsia" w:ascii="仿宋" w:hAnsi="仿宋" w:eastAsia="仿宋"/>
          <w:color w:val="000000"/>
          <w:sz w:val="18"/>
          <w:szCs w:val="18"/>
        </w:rPr>
      </w:pPr>
    </w:p>
    <w:p w14:paraId="5FECDCC6">
      <w:pPr>
        <w:rPr>
          <w:rFonts w:hint="eastAsia" w:ascii="仿宋" w:hAnsi="仿宋" w:eastAsia="仿宋"/>
          <w:color w:val="000000"/>
          <w:sz w:val="18"/>
          <w:szCs w:val="18"/>
        </w:rPr>
      </w:pPr>
      <w:r>
        <w:rPr>
          <w:rFonts w:hint="eastAsia" w:ascii="仿宋" w:hAnsi="仿宋" w:eastAsia="仿宋"/>
          <w:color w:val="000000"/>
          <w:sz w:val="18"/>
          <w:szCs w:val="18"/>
        </w:rPr>
        <w:t>投资者签字：</w:t>
      </w:r>
    </w:p>
    <w:p w14:paraId="10EA2237">
      <w:pPr>
        <w:rPr>
          <w:rFonts w:hint="eastAsia" w:ascii="仿宋" w:hAnsi="仿宋" w:eastAsia="仿宋"/>
          <w:color w:val="000000"/>
          <w:sz w:val="18"/>
          <w:szCs w:val="18"/>
        </w:rPr>
      </w:pPr>
    </w:p>
    <w:p w14:paraId="2B1AE7A2">
      <w:pPr>
        <w:rPr>
          <w:rFonts w:hint="eastAsia" w:ascii="仿宋" w:hAnsi="仿宋" w:eastAsia="仿宋"/>
          <w:color w:val="000000"/>
          <w:sz w:val="18"/>
          <w:szCs w:val="18"/>
        </w:rPr>
      </w:pPr>
    </w:p>
    <w:p w14:paraId="4B224169">
      <w:pPr>
        <w:rPr>
          <w:rFonts w:hint="eastAsia" w:ascii="仿宋" w:hAnsi="仿宋" w:eastAsia="仿宋"/>
          <w:color w:val="000000"/>
          <w:sz w:val="18"/>
          <w:szCs w:val="18"/>
        </w:rPr>
      </w:pPr>
      <w:r>
        <w:rPr>
          <w:rFonts w:hint="eastAsia" w:ascii="仿宋" w:hAnsi="仿宋" w:eastAsia="仿宋"/>
          <w:color w:val="000000"/>
          <w:sz w:val="18"/>
          <w:szCs w:val="18"/>
        </w:rPr>
        <w:t>日期：</w:t>
      </w:r>
      <w:r>
        <w:rPr>
          <w:rFonts w:hint="eastAsia" w:ascii="仿宋" w:hAnsi="仿宋" w:eastAsia="仿宋"/>
          <w:color w:val="000000"/>
          <w:sz w:val="18"/>
          <w:szCs w:val="18"/>
          <w:lang w:val="en-US" w:eastAsia="zh-CN"/>
        </w:rPr>
        <w:t xml:space="preserve">  </w:t>
      </w:r>
      <w:r>
        <w:rPr>
          <w:rFonts w:hint="eastAsia" w:ascii="仿宋" w:hAnsi="仿宋" w:eastAsia="仿宋"/>
          <w:color w:val="000000"/>
          <w:sz w:val="18"/>
          <w:szCs w:val="18"/>
        </w:rPr>
        <w:t xml:space="preserve"> 年 </w:t>
      </w:r>
      <w:r>
        <w:rPr>
          <w:rFonts w:hint="eastAsia" w:ascii="仿宋" w:hAnsi="仿宋" w:eastAsia="仿宋"/>
          <w:color w:val="000000"/>
          <w:sz w:val="18"/>
          <w:szCs w:val="18"/>
          <w:lang w:val="en-US" w:eastAsia="zh-CN"/>
        </w:rPr>
        <w:t xml:space="preserve">  </w:t>
      </w:r>
      <w:r>
        <w:rPr>
          <w:rFonts w:hint="eastAsia" w:ascii="仿宋" w:hAnsi="仿宋" w:eastAsia="仿宋"/>
          <w:color w:val="000000"/>
          <w:sz w:val="18"/>
          <w:szCs w:val="18"/>
        </w:rPr>
        <w:t>月</w:t>
      </w:r>
      <w:r>
        <w:rPr>
          <w:rFonts w:hint="eastAsia" w:ascii="仿宋" w:hAnsi="仿宋" w:eastAsia="仿宋"/>
          <w:color w:val="000000"/>
          <w:sz w:val="18"/>
          <w:szCs w:val="18"/>
          <w:lang w:val="en-US" w:eastAsia="zh-CN"/>
        </w:rPr>
        <w:t xml:space="preserve">  </w:t>
      </w:r>
      <w:r>
        <w:rPr>
          <w:rFonts w:hint="eastAsia" w:ascii="仿宋" w:hAnsi="仿宋" w:eastAsia="仿宋"/>
          <w:color w:val="000000"/>
          <w:sz w:val="18"/>
          <w:szCs w:val="18"/>
        </w:rPr>
        <w:t xml:space="preserve"> 日</w:t>
      </w:r>
    </w:p>
    <w:p w14:paraId="2F6B3EB2">
      <w:pPr>
        <w:numPr>
          <w:ilvl w:val="0"/>
          <w:numId w:val="0"/>
        </w:numPr>
        <w:bidi w:val="0"/>
        <w:ind w:firstLine="400" w:firstLineChars="200"/>
        <w:jc w:val="left"/>
        <w:rPr>
          <w:rFonts w:ascii="仿宋_GB2312" w:hAnsi="宋体" w:eastAsia="仿宋_GB2312" w:cs="仿宋_GB2312"/>
          <w:b w:val="0"/>
          <w:bCs w:val="0"/>
          <w:color w:val="000000"/>
          <w:sz w:val="20"/>
          <w:szCs w:val="20"/>
        </w:rPr>
      </w:pPr>
    </w:p>
    <w:p w14:paraId="602811F4">
      <w:pPr>
        <w:numPr>
          <w:ilvl w:val="0"/>
          <w:numId w:val="0"/>
        </w:numPr>
        <w:bidi w:val="0"/>
        <w:ind w:firstLine="400" w:firstLineChars="200"/>
        <w:jc w:val="left"/>
        <w:rPr>
          <w:rFonts w:ascii="仿宋_GB2312" w:hAnsi="宋体" w:eastAsia="仿宋_GB2312" w:cs="仿宋_GB2312"/>
          <w:b w:val="0"/>
          <w:bCs w:val="0"/>
          <w:color w:val="000000"/>
          <w:sz w:val="20"/>
          <w:szCs w:val="20"/>
        </w:rPr>
      </w:pPr>
    </w:p>
    <w:p w14:paraId="27517C51">
      <w:pPr>
        <w:numPr>
          <w:ilvl w:val="0"/>
          <w:numId w:val="0"/>
        </w:numPr>
        <w:bidi w:val="0"/>
        <w:ind w:firstLine="400" w:firstLineChars="200"/>
        <w:jc w:val="left"/>
        <w:rPr>
          <w:rFonts w:ascii="仿宋_GB2312" w:hAnsi="宋体" w:eastAsia="仿宋_GB2312" w:cs="仿宋_GB2312"/>
          <w:b w:val="0"/>
          <w:bCs w:val="0"/>
          <w:color w:val="000000"/>
          <w:sz w:val="20"/>
          <w:szCs w:val="20"/>
        </w:rPr>
      </w:pPr>
    </w:p>
    <w:p w14:paraId="3A4DD4AC">
      <w:pPr>
        <w:numPr>
          <w:ilvl w:val="0"/>
          <w:numId w:val="0"/>
        </w:numPr>
        <w:bidi w:val="0"/>
        <w:ind w:firstLine="400" w:firstLineChars="200"/>
        <w:jc w:val="left"/>
        <w:rPr>
          <w:rFonts w:ascii="仿宋_GB2312" w:hAnsi="宋体" w:eastAsia="仿宋_GB2312" w:cs="仿宋_GB2312"/>
          <w:b w:val="0"/>
          <w:bCs w:val="0"/>
          <w:color w:val="000000"/>
          <w:sz w:val="20"/>
          <w:szCs w:val="20"/>
        </w:rPr>
      </w:pPr>
    </w:p>
    <w:p w14:paraId="6AC0ADEA">
      <w:pPr>
        <w:spacing w:line="360" w:lineRule="atLeast"/>
        <w:ind w:left="-283" w:leftChars="-135"/>
        <w:jc w:val="center"/>
        <w:rPr>
          <w:rFonts w:hint="eastAsia" w:ascii="仿宋" w:hAnsi="仿宋" w:eastAsia="仿宋"/>
          <w:b/>
          <w:sz w:val="24"/>
          <w:szCs w:val="24"/>
        </w:rPr>
      </w:pPr>
    </w:p>
    <w:p w14:paraId="772F87DA">
      <w:pPr>
        <w:spacing w:line="360" w:lineRule="atLeast"/>
        <w:ind w:left="-283" w:leftChars="-135"/>
        <w:jc w:val="center"/>
        <w:rPr>
          <w:rFonts w:hint="eastAsia" w:ascii="仿宋" w:hAnsi="仿宋" w:eastAsia="仿宋"/>
          <w:b/>
          <w:sz w:val="24"/>
          <w:szCs w:val="24"/>
        </w:rPr>
      </w:pPr>
    </w:p>
    <w:p w14:paraId="47B30CF1">
      <w:pPr>
        <w:spacing w:line="360" w:lineRule="atLeast"/>
        <w:ind w:left="-283" w:leftChars="-135"/>
        <w:jc w:val="center"/>
        <w:rPr>
          <w:rFonts w:hint="eastAsia" w:ascii="仿宋" w:hAnsi="仿宋" w:eastAsia="仿宋"/>
          <w:b/>
          <w:sz w:val="24"/>
          <w:szCs w:val="24"/>
        </w:rPr>
      </w:pPr>
    </w:p>
    <w:p w14:paraId="3A895950">
      <w:pPr>
        <w:spacing w:line="360" w:lineRule="atLeast"/>
        <w:ind w:left="-283" w:leftChars="-135"/>
        <w:jc w:val="center"/>
        <w:rPr>
          <w:rFonts w:hint="eastAsia" w:ascii="仿宋" w:hAnsi="仿宋" w:eastAsia="仿宋"/>
          <w:b/>
          <w:sz w:val="24"/>
          <w:szCs w:val="24"/>
        </w:rPr>
      </w:pPr>
    </w:p>
    <w:p w14:paraId="5869771F">
      <w:pPr>
        <w:spacing w:line="360" w:lineRule="atLeast"/>
        <w:ind w:left="-283" w:leftChars="-135"/>
        <w:jc w:val="center"/>
        <w:rPr>
          <w:rFonts w:hint="eastAsia" w:ascii="仿宋" w:hAnsi="仿宋" w:eastAsia="仿宋"/>
          <w:b/>
          <w:sz w:val="24"/>
          <w:szCs w:val="24"/>
        </w:rPr>
      </w:pPr>
    </w:p>
    <w:p w14:paraId="7B25C2C4">
      <w:pPr>
        <w:spacing w:line="360" w:lineRule="atLeast"/>
        <w:ind w:left="-283" w:leftChars="-135"/>
        <w:jc w:val="center"/>
        <w:rPr>
          <w:rFonts w:hint="eastAsia" w:ascii="仿宋" w:hAnsi="仿宋" w:eastAsia="仿宋"/>
          <w:b/>
          <w:sz w:val="24"/>
          <w:szCs w:val="24"/>
        </w:rPr>
      </w:pPr>
    </w:p>
    <w:p w14:paraId="362567DE">
      <w:pPr>
        <w:spacing w:line="360" w:lineRule="atLeast"/>
        <w:ind w:left="-283" w:leftChars="-135"/>
        <w:jc w:val="center"/>
        <w:rPr>
          <w:rFonts w:hint="eastAsia" w:ascii="仿宋" w:hAnsi="仿宋" w:eastAsia="仿宋"/>
          <w:b/>
          <w:sz w:val="24"/>
          <w:szCs w:val="24"/>
        </w:rPr>
      </w:pPr>
    </w:p>
    <w:p w14:paraId="3A1B732F">
      <w:pPr>
        <w:spacing w:line="360" w:lineRule="atLeast"/>
        <w:ind w:left="-283" w:leftChars="-135"/>
        <w:jc w:val="center"/>
        <w:rPr>
          <w:rFonts w:hint="eastAsia" w:ascii="仿宋" w:hAnsi="仿宋" w:eastAsia="仿宋"/>
          <w:b/>
          <w:sz w:val="24"/>
          <w:szCs w:val="24"/>
        </w:rPr>
      </w:pPr>
    </w:p>
    <w:p w14:paraId="6ACF8DDA">
      <w:pPr>
        <w:spacing w:line="360" w:lineRule="atLeast"/>
        <w:ind w:left="-283" w:leftChars="-135"/>
        <w:jc w:val="center"/>
        <w:rPr>
          <w:rFonts w:hint="eastAsia" w:ascii="仿宋" w:hAnsi="仿宋" w:eastAsia="仿宋"/>
          <w:b/>
          <w:sz w:val="24"/>
          <w:szCs w:val="24"/>
        </w:rPr>
      </w:pPr>
    </w:p>
    <w:p w14:paraId="61B6BE0E">
      <w:pPr>
        <w:spacing w:line="360" w:lineRule="atLeast"/>
        <w:ind w:left="-283" w:leftChars="-135"/>
        <w:jc w:val="center"/>
        <w:rPr>
          <w:rFonts w:hint="eastAsia" w:ascii="仿宋" w:hAnsi="仿宋" w:eastAsia="仿宋"/>
          <w:b/>
          <w:sz w:val="24"/>
          <w:szCs w:val="24"/>
        </w:rPr>
      </w:pPr>
    </w:p>
    <w:p w14:paraId="2A421720">
      <w:pPr>
        <w:spacing w:line="360" w:lineRule="atLeast"/>
        <w:ind w:left="-283" w:leftChars="-135"/>
        <w:jc w:val="center"/>
        <w:rPr>
          <w:rFonts w:hint="eastAsia" w:ascii="仿宋" w:hAnsi="仿宋" w:eastAsia="仿宋"/>
          <w:b/>
          <w:sz w:val="24"/>
          <w:szCs w:val="24"/>
        </w:rPr>
      </w:pPr>
    </w:p>
    <w:p w14:paraId="050AC2FC">
      <w:pPr>
        <w:spacing w:line="360" w:lineRule="atLeast"/>
        <w:ind w:left="-283" w:leftChars="-135"/>
        <w:jc w:val="center"/>
        <w:rPr>
          <w:rFonts w:hint="eastAsia" w:ascii="仿宋" w:hAnsi="仿宋" w:eastAsia="仿宋"/>
          <w:b/>
          <w:sz w:val="24"/>
          <w:szCs w:val="24"/>
        </w:rPr>
      </w:pPr>
    </w:p>
    <w:p w14:paraId="4BC73048">
      <w:pPr>
        <w:spacing w:line="360" w:lineRule="atLeast"/>
        <w:ind w:left="-283" w:leftChars="-135"/>
        <w:jc w:val="center"/>
        <w:rPr>
          <w:rFonts w:hint="eastAsia" w:ascii="仿宋" w:hAnsi="仿宋" w:eastAsia="仿宋"/>
          <w:b/>
          <w:sz w:val="24"/>
          <w:szCs w:val="24"/>
        </w:rPr>
      </w:pPr>
    </w:p>
    <w:p w14:paraId="346D1CB7">
      <w:pPr>
        <w:spacing w:line="360" w:lineRule="atLeast"/>
        <w:ind w:left="-283" w:leftChars="-135"/>
        <w:jc w:val="center"/>
        <w:rPr>
          <w:rFonts w:hint="eastAsia" w:ascii="仿宋" w:hAnsi="仿宋" w:eastAsia="仿宋"/>
          <w:b/>
          <w:sz w:val="24"/>
          <w:szCs w:val="24"/>
        </w:rPr>
      </w:pPr>
    </w:p>
    <w:p w14:paraId="6EA89845">
      <w:pPr>
        <w:spacing w:line="360" w:lineRule="atLeast"/>
        <w:ind w:left="-283" w:leftChars="-135"/>
        <w:jc w:val="center"/>
        <w:rPr>
          <w:rFonts w:hint="eastAsia" w:ascii="仿宋" w:hAnsi="仿宋" w:eastAsia="仿宋"/>
          <w:b/>
          <w:sz w:val="24"/>
          <w:szCs w:val="24"/>
        </w:rPr>
      </w:pPr>
    </w:p>
    <w:p w14:paraId="12BCC860">
      <w:pPr>
        <w:spacing w:line="360" w:lineRule="atLeast"/>
        <w:ind w:left="-283" w:leftChars="-135"/>
        <w:jc w:val="both"/>
        <w:rPr>
          <w:rFonts w:hint="eastAsia" w:ascii="仿宋" w:hAnsi="仿宋" w:eastAsia="仿宋"/>
          <w:b/>
          <w:sz w:val="24"/>
          <w:szCs w:val="24"/>
        </w:rPr>
      </w:pPr>
    </w:p>
    <w:p w14:paraId="4C5C5E22">
      <w:pPr>
        <w:spacing w:line="360" w:lineRule="atLeast"/>
        <w:jc w:val="both"/>
        <w:rPr>
          <w:rFonts w:hint="eastAsia" w:ascii="仿宋" w:hAnsi="仿宋" w:eastAsia="仿宋"/>
          <w:b/>
          <w:sz w:val="24"/>
          <w:szCs w:val="24"/>
        </w:rPr>
      </w:pPr>
    </w:p>
    <w:p w14:paraId="2D91F70A">
      <w:pPr>
        <w:spacing w:line="360" w:lineRule="atLeast"/>
        <w:ind w:left="-283" w:leftChars="-135"/>
        <w:jc w:val="center"/>
        <w:rPr>
          <w:rFonts w:hint="eastAsia" w:ascii="仿宋" w:hAnsi="仿宋" w:eastAsia="仿宋"/>
          <w:b/>
          <w:sz w:val="24"/>
          <w:szCs w:val="24"/>
        </w:rPr>
      </w:pPr>
      <w:r>
        <w:rPr>
          <w:rFonts w:hint="eastAsia" w:ascii="仿宋" w:hAnsi="仿宋" w:eastAsia="仿宋"/>
          <w:b/>
          <w:sz w:val="24"/>
          <w:szCs w:val="24"/>
        </w:rPr>
        <w:t>大连农商银行“金浪花”2026年</w:t>
      </w:r>
      <w:r>
        <w:rPr>
          <w:rFonts w:hint="eastAsia" w:ascii="仿宋" w:hAnsi="仿宋" w:eastAsia="仿宋"/>
          <w:b/>
          <w:sz w:val="24"/>
          <w:szCs w:val="24"/>
          <w:lang w:val="en-US" w:eastAsia="zh-CN"/>
        </w:rPr>
        <w:t>39期</w:t>
      </w:r>
      <w:r>
        <w:rPr>
          <w:rFonts w:hint="eastAsia" w:ascii="仿宋" w:hAnsi="仿宋" w:eastAsia="仿宋"/>
          <w:b/>
          <w:sz w:val="24"/>
          <w:szCs w:val="24"/>
        </w:rPr>
        <w:t>净值型人民币理财产品说明书</w:t>
      </w:r>
    </w:p>
    <w:tbl>
      <w:tblPr>
        <w:tblStyle w:val="2"/>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14"/>
      </w:tblGrid>
      <w:tr w14:paraId="1BCF1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4" w:hRule="atLeast"/>
        </w:trPr>
        <w:tc>
          <w:tcPr>
            <w:tcW w:w="9214" w:type="dxa"/>
            <w:noWrap w:val="0"/>
            <w:vAlign w:val="top"/>
          </w:tcPr>
          <w:p w14:paraId="19217853">
            <w:pPr>
              <w:jc w:val="center"/>
              <w:rPr>
                <w:sz w:val="24"/>
                <w:szCs w:val="24"/>
                <w:highlight w:val="none"/>
              </w:rPr>
            </w:pPr>
            <w:r>
              <w:rPr>
                <w:rFonts w:hint="eastAsia"/>
                <w:sz w:val="24"/>
                <w:szCs w:val="24"/>
                <w:highlight w:val="none"/>
              </w:rPr>
              <w:t>特别提示</w:t>
            </w:r>
          </w:p>
          <w:p w14:paraId="30A4FE85">
            <w:pPr>
              <w:pStyle w:val="6"/>
              <w:ind w:firstLine="0" w:firstLineChars="0"/>
              <w:rPr>
                <w:rFonts w:ascii="仿宋" w:hAnsi="仿宋" w:eastAsia="仿宋"/>
                <w:sz w:val="18"/>
                <w:szCs w:val="18"/>
                <w:highlight w:val="none"/>
              </w:rPr>
            </w:pPr>
            <w:r>
              <w:rPr>
                <w:rFonts w:hint="eastAsia" w:ascii="仿宋" w:hAnsi="仿宋" w:eastAsia="仿宋"/>
                <w:sz w:val="18"/>
                <w:szCs w:val="18"/>
                <w:highlight w:val="none"/>
              </w:rPr>
              <w:t>一、本理财产品不等同于存款，具有一定的投资风险，理财产品过往业绩及业绩比较基准不代表其未来表现，不等于理财产品实际收益，请谨慎投资。</w:t>
            </w:r>
          </w:p>
          <w:p w14:paraId="46D56D74">
            <w:pPr>
              <w:pStyle w:val="6"/>
              <w:ind w:firstLine="0" w:firstLineChars="0"/>
              <w:rPr>
                <w:rFonts w:ascii="仿宋" w:hAnsi="仿宋" w:eastAsia="仿宋"/>
                <w:sz w:val="18"/>
                <w:szCs w:val="18"/>
                <w:highlight w:val="none"/>
              </w:rPr>
            </w:pPr>
            <w:r>
              <w:rPr>
                <w:rFonts w:hint="eastAsia" w:ascii="仿宋" w:hAnsi="仿宋" w:eastAsia="仿宋"/>
                <w:sz w:val="18"/>
                <w:szCs w:val="18"/>
                <w:highlight w:val="none"/>
              </w:rPr>
              <w:t>二、本产品为非保本净值型产品，</w:t>
            </w:r>
            <w:r>
              <w:rPr>
                <w:rFonts w:hint="eastAsia" w:ascii="仿宋" w:hAnsi="仿宋" w:eastAsia="仿宋"/>
                <w:sz w:val="18"/>
                <w:szCs w:val="18"/>
                <w:highlight w:val="none"/>
                <w:lang w:eastAsia="zh-CN"/>
              </w:rPr>
              <w:t>大连农商银行</w:t>
            </w:r>
            <w:r>
              <w:rPr>
                <w:rFonts w:hint="eastAsia" w:ascii="仿宋" w:hAnsi="仿宋" w:eastAsia="仿宋"/>
                <w:sz w:val="18"/>
                <w:szCs w:val="18"/>
                <w:highlight w:val="none"/>
              </w:rPr>
              <w:t>理财产品风险评级为【R2】理财产品，面向具有一定风险承受能力的、具有一定投资经验的客户销售。</w:t>
            </w:r>
            <w:r>
              <w:rPr>
                <w:rFonts w:ascii="仿宋" w:hAnsi="仿宋" w:eastAsia="仿宋"/>
                <w:sz w:val="18"/>
                <w:szCs w:val="18"/>
                <w:highlight w:val="none"/>
              </w:rPr>
              <w:t xml:space="preserve"> </w:t>
            </w:r>
          </w:p>
          <w:p w14:paraId="6A442095">
            <w:pPr>
              <w:pStyle w:val="6"/>
              <w:ind w:firstLine="0" w:firstLineChars="0"/>
              <w:rPr>
                <w:rFonts w:ascii="仿宋" w:hAnsi="仿宋" w:eastAsia="仿宋"/>
                <w:sz w:val="18"/>
                <w:szCs w:val="18"/>
                <w:highlight w:val="none"/>
              </w:rPr>
            </w:pPr>
            <w:r>
              <w:rPr>
                <w:rFonts w:hint="eastAsia" w:ascii="仿宋" w:hAnsi="仿宋" w:eastAsia="仿宋"/>
                <w:sz w:val="18"/>
                <w:szCs w:val="18"/>
                <w:highlight w:val="none"/>
              </w:rPr>
              <w:t>三、在购买理财产品前，投资者应确保自己完全明白该项投资的性质和所涉及的风险，详细了解和审慎评估其中涉及的风险以及投资者的自身情况，在慎重考虑后自行决定购买与自身风险承受能力和资产管理需求匹配的理财产品。</w:t>
            </w:r>
          </w:p>
          <w:p w14:paraId="32FF72B9">
            <w:pPr>
              <w:pStyle w:val="6"/>
              <w:ind w:firstLine="0" w:firstLineChars="0"/>
              <w:rPr>
                <w:rFonts w:ascii="仿宋" w:hAnsi="仿宋" w:eastAsia="仿宋"/>
                <w:sz w:val="18"/>
                <w:szCs w:val="18"/>
                <w:highlight w:val="none"/>
              </w:rPr>
            </w:pPr>
            <w:r>
              <w:rPr>
                <w:rFonts w:hint="eastAsia" w:ascii="仿宋" w:hAnsi="仿宋" w:eastAsia="仿宋"/>
                <w:sz w:val="18"/>
                <w:szCs w:val="18"/>
                <w:highlight w:val="none"/>
              </w:rPr>
              <w:t>四、客户对本产品说明书有任何疑问，请向</w:t>
            </w:r>
            <w:r>
              <w:rPr>
                <w:rFonts w:hint="eastAsia" w:ascii="仿宋" w:hAnsi="仿宋" w:eastAsia="仿宋"/>
                <w:sz w:val="18"/>
                <w:szCs w:val="18"/>
                <w:highlight w:val="none"/>
                <w:lang w:eastAsia="zh-CN"/>
              </w:rPr>
              <w:t>大连农商银行</w:t>
            </w:r>
            <w:r>
              <w:rPr>
                <w:rFonts w:hint="eastAsia" w:ascii="仿宋" w:hAnsi="仿宋" w:eastAsia="仿宋"/>
                <w:sz w:val="18"/>
                <w:szCs w:val="18"/>
                <w:highlight w:val="none"/>
              </w:rPr>
              <w:t>咨询。在购买理财产品后，投资者应随时关注该理财产品的信息披露情况，及时获取相关信息。</w:t>
            </w:r>
            <w:r>
              <w:rPr>
                <w:rFonts w:ascii="仿宋" w:hAnsi="仿宋" w:eastAsia="仿宋"/>
                <w:sz w:val="18"/>
                <w:szCs w:val="18"/>
                <w:highlight w:val="none"/>
              </w:rPr>
              <w:t xml:space="preserve"> </w:t>
            </w:r>
          </w:p>
          <w:p w14:paraId="719257A8">
            <w:pPr>
              <w:rPr>
                <w:rFonts w:ascii="仿宋" w:hAnsi="仿宋" w:eastAsia="仿宋"/>
                <w:color w:val="000000"/>
                <w:sz w:val="28"/>
                <w:szCs w:val="28"/>
                <w:highlight w:val="none"/>
              </w:rPr>
            </w:pPr>
            <w:r>
              <w:rPr>
                <w:rFonts w:hint="eastAsia" w:ascii="仿宋" w:hAnsi="仿宋" w:eastAsia="仿宋"/>
                <w:sz w:val="18"/>
                <w:szCs w:val="18"/>
                <w:highlight w:val="none"/>
              </w:rPr>
              <w:t>五、在本理财产品存续期内，如因国家法律法规、监管规定发生变化，或是出于维持本理财产品正常运营的需要，在不损害投资者利益的前提下，大连农商银行有权对本理财产品说明书进行修订。</w:t>
            </w:r>
          </w:p>
        </w:tc>
      </w:tr>
    </w:tbl>
    <w:p w14:paraId="0CDABE43">
      <w:pPr>
        <w:rPr>
          <w:rFonts w:ascii="仿宋" w:hAnsi="仿宋" w:eastAsia="仿宋"/>
          <w:b/>
          <w:color w:val="000000"/>
          <w:sz w:val="28"/>
          <w:szCs w:val="28"/>
          <w:highlight w:val="none"/>
        </w:rPr>
      </w:pPr>
      <w:bookmarkStart w:id="0" w:name="OLE_LINK1"/>
      <w:r>
        <w:rPr>
          <w:rFonts w:hint="eastAsia" w:ascii="仿宋" w:hAnsi="仿宋" w:eastAsia="仿宋"/>
          <w:b/>
          <w:color w:val="000000"/>
          <w:sz w:val="28"/>
          <w:szCs w:val="28"/>
          <w:highlight w:val="none"/>
        </w:rPr>
        <w:t>一、产品概述</w:t>
      </w:r>
    </w:p>
    <w:tbl>
      <w:tblPr>
        <w:tblStyle w:val="2"/>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1"/>
        <w:gridCol w:w="7513"/>
      </w:tblGrid>
      <w:tr w14:paraId="346B2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701" w:type="dxa"/>
            <w:noWrap w:val="0"/>
            <w:vAlign w:val="center"/>
          </w:tcPr>
          <w:p w14:paraId="2215FD6E">
            <w:pPr>
              <w:jc w:val="center"/>
              <w:rPr>
                <w:rFonts w:ascii="仿宋" w:hAnsi="仿宋" w:eastAsia="仿宋"/>
                <w:b w:val="0"/>
                <w:bCs/>
                <w:sz w:val="18"/>
                <w:szCs w:val="18"/>
                <w:highlight w:val="none"/>
              </w:rPr>
            </w:pPr>
            <w:bookmarkStart w:id="1" w:name="OLE_LINK2"/>
            <w:r>
              <w:rPr>
                <w:rFonts w:hint="eastAsia" w:ascii="仿宋" w:hAnsi="仿宋" w:eastAsia="仿宋"/>
                <w:b/>
                <w:bCs w:val="0"/>
                <w:sz w:val="18"/>
                <w:szCs w:val="18"/>
                <w:highlight w:val="none"/>
              </w:rPr>
              <w:t>重要提示</w:t>
            </w:r>
          </w:p>
        </w:tc>
        <w:tc>
          <w:tcPr>
            <w:tcW w:w="7513" w:type="dxa"/>
            <w:noWrap w:val="0"/>
            <w:vAlign w:val="center"/>
          </w:tcPr>
          <w:p w14:paraId="67460DFF">
            <w:pPr>
              <w:rPr>
                <w:rFonts w:hint="eastAsia" w:ascii="仿宋" w:hAnsi="仿宋" w:eastAsia="仿宋" w:cs="Times New Roman"/>
                <w:color w:val="000000"/>
                <w:sz w:val="18"/>
                <w:szCs w:val="18"/>
                <w:highlight w:val="none"/>
              </w:rPr>
            </w:pPr>
            <w:r>
              <w:rPr>
                <w:rFonts w:hint="eastAsia" w:ascii="仿宋" w:hAnsi="仿宋" w:eastAsia="仿宋" w:cs="Times New Roman"/>
                <w:color w:val="000000"/>
                <w:sz w:val="18"/>
                <w:szCs w:val="18"/>
                <w:highlight w:val="none"/>
                <w:lang w:val="en-US" w:eastAsia="zh-CN"/>
              </w:rPr>
              <w:t>本</w:t>
            </w:r>
            <w:r>
              <w:rPr>
                <w:rFonts w:hint="eastAsia" w:ascii="仿宋" w:hAnsi="仿宋" w:eastAsia="仿宋" w:cs="Times New Roman"/>
                <w:color w:val="000000"/>
                <w:sz w:val="18"/>
                <w:szCs w:val="18"/>
                <w:highlight w:val="none"/>
              </w:rPr>
              <w:t>产品风险评级</w:t>
            </w:r>
            <w:r>
              <w:rPr>
                <w:rFonts w:hint="eastAsia" w:ascii="仿宋" w:hAnsi="仿宋" w:eastAsia="仿宋" w:cs="Times New Roman"/>
                <w:b/>
                <w:bCs/>
                <w:color w:val="000000"/>
                <w:sz w:val="18"/>
                <w:szCs w:val="18"/>
                <w:highlight w:val="none"/>
                <w:lang w:val="en-US" w:eastAsia="zh-CN"/>
              </w:rPr>
              <w:t>R2 级（中低风险）</w:t>
            </w:r>
          </w:p>
          <w:p w14:paraId="1594D81B">
            <w:pPr>
              <w:rPr>
                <w:rFonts w:hint="eastAsia" w:ascii="仿宋" w:hAnsi="仿宋" w:eastAsia="仿宋" w:cs="Times New Roman"/>
                <w:color w:val="000000"/>
                <w:sz w:val="18"/>
                <w:szCs w:val="18"/>
                <w:highlight w:val="none"/>
                <w:lang w:val="en-US" w:eastAsia="zh-CN"/>
              </w:rPr>
            </w:pPr>
            <w:r>
              <w:rPr>
                <w:rFonts w:hint="eastAsia" w:ascii="仿宋" w:hAnsi="仿宋" w:eastAsia="仿宋" w:cs="Times New Roman"/>
                <w:color w:val="000000"/>
                <w:sz w:val="18"/>
                <w:szCs w:val="18"/>
                <w:highlight w:val="none"/>
                <w:lang w:val="en-US" w:eastAsia="zh-CN"/>
              </w:rPr>
              <w:t>本风险等级为内部风险等级评定结果，仅供投资者参考。当市场环境等因素发生变化，</w:t>
            </w:r>
            <w:r>
              <w:rPr>
                <w:rFonts w:hint="eastAsia" w:ascii="仿宋" w:hAnsi="仿宋" w:eastAsia="仿宋"/>
                <w:sz w:val="18"/>
                <w:szCs w:val="18"/>
                <w:highlight w:val="none"/>
              </w:rPr>
              <w:t>大连农商银行</w:t>
            </w:r>
            <w:r>
              <w:rPr>
                <w:rFonts w:hint="eastAsia" w:ascii="仿宋" w:hAnsi="仿宋" w:eastAsia="仿宋" w:cs="Times New Roman"/>
                <w:color w:val="000000"/>
                <w:sz w:val="18"/>
                <w:szCs w:val="18"/>
                <w:highlight w:val="none"/>
                <w:lang w:val="en-US" w:eastAsia="zh-CN"/>
              </w:rPr>
              <w:t>在符合监管政策要求下可对产品风险等级进行动态管理，并根据信息披露规则进行披露。</w:t>
            </w:r>
          </w:p>
          <w:p w14:paraId="04A613D1">
            <w:pPr>
              <w:rPr>
                <w:rFonts w:ascii="仿宋" w:hAnsi="仿宋" w:eastAsia="仿宋"/>
                <w:b w:val="0"/>
                <w:bCs/>
                <w:sz w:val="18"/>
                <w:szCs w:val="18"/>
                <w:highlight w:val="none"/>
              </w:rPr>
            </w:pPr>
            <w:r>
              <w:rPr>
                <w:rFonts w:hint="eastAsia" w:ascii="仿宋" w:hAnsi="仿宋" w:eastAsia="仿宋" w:cs="Times New Roman"/>
                <w:color w:val="000000"/>
                <w:sz w:val="18"/>
                <w:szCs w:val="18"/>
                <w:highlight w:val="none"/>
                <w:lang w:val="en-US" w:eastAsia="zh-CN"/>
              </w:rPr>
              <w:t xml:space="preserve">适合的投资者类型：风险承受能力评级为 </w:t>
            </w:r>
            <w:r>
              <w:rPr>
                <w:rFonts w:hint="eastAsia" w:ascii="仿宋" w:hAnsi="仿宋" w:eastAsia="仿宋" w:cs="Times New Roman"/>
                <w:b/>
                <w:bCs/>
                <w:color w:val="000000"/>
                <w:sz w:val="18"/>
                <w:szCs w:val="18"/>
                <w:highlight w:val="none"/>
                <w:lang w:val="en-US" w:eastAsia="zh-CN"/>
              </w:rPr>
              <w:t>C2（稳健型）、C3（平衡型）、C4（进取型）、C5（激进型）</w:t>
            </w:r>
            <w:r>
              <w:rPr>
                <w:rFonts w:hint="eastAsia" w:ascii="仿宋" w:hAnsi="仿宋" w:eastAsia="仿宋" w:cs="Times New Roman"/>
                <w:color w:val="000000"/>
                <w:sz w:val="18"/>
                <w:szCs w:val="18"/>
                <w:highlight w:val="none"/>
                <w:lang w:val="en-US" w:eastAsia="zh-CN"/>
              </w:rPr>
              <w:t xml:space="preserve"> 的投资者。</w:t>
            </w:r>
          </w:p>
        </w:tc>
      </w:tr>
      <w:tr w14:paraId="21FCE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701" w:type="dxa"/>
            <w:noWrap w:val="0"/>
            <w:vAlign w:val="center"/>
          </w:tcPr>
          <w:p w14:paraId="4B33FD91">
            <w:pPr>
              <w:jc w:val="center"/>
              <w:rPr>
                <w:rFonts w:ascii="仿宋" w:hAnsi="仿宋" w:eastAsia="仿宋"/>
                <w:b/>
                <w:sz w:val="18"/>
                <w:szCs w:val="18"/>
                <w:highlight w:val="none"/>
              </w:rPr>
            </w:pPr>
            <w:r>
              <w:rPr>
                <w:rFonts w:hint="eastAsia" w:ascii="仿宋" w:hAnsi="仿宋" w:eastAsia="仿宋"/>
                <w:b/>
                <w:sz w:val="18"/>
                <w:szCs w:val="18"/>
                <w:highlight w:val="none"/>
              </w:rPr>
              <w:t>产品名称</w:t>
            </w:r>
          </w:p>
        </w:tc>
        <w:tc>
          <w:tcPr>
            <w:tcW w:w="7513" w:type="dxa"/>
            <w:noWrap w:val="0"/>
            <w:vAlign w:val="center"/>
          </w:tcPr>
          <w:p w14:paraId="279D031D">
            <w:pPr>
              <w:rPr>
                <w:rFonts w:hint="eastAsia" w:ascii="仿宋" w:hAnsi="仿宋" w:eastAsia="仿宋"/>
                <w:sz w:val="18"/>
                <w:szCs w:val="18"/>
                <w:highlight w:val="none"/>
              </w:rPr>
            </w:pPr>
            <w:r>
              <w:rPr>
                <w:rFonts w:hint="eastAsia" w:ascii="仿宋" w:hAnsi="仿宋" w:eastAsia="仿宋"/>
                <w:sz w:val="18"/>
                <w:szCs w:val="18"/>
                <w:highlight w:val="none"/>
              </w:rPr>
              <w:t>“金浪花”</w:t>
            </w:r>
            <w:r>
              <w:rPr>
                <w:rFonts w:hint="eastAsia" w:ascii="仿宋" w:hAnsi="仿宋" w:eastAsia="仿宋"/>
                <w:sz w:val="18"/>
                <w:szCs w:val="18"/>
                <w:highlight w:val="none"/>
                <w:u w:val="single"/>
              </w:rPr>
              <w:t>2026</w:t>
            </w:r>
            <w:r>
              <w:rPr>
                <w:rFonts w:hint="eastAsia" w:ascii="仿宋" w:hAnsi="仿宋" w:eastAsia="仿宋"/>
                <w:sz w:val="18"/>
                <w:szCs w:val="18"/>
                <w:highlight w:val="none"/>
              </w:rPr>
              <w:t>年</w:t>
            </w:r>
            <w:r>
              <w:rPr>
                <w:rFonts w:hint="eastAsia" w:ascii="仿宋" w:hAnsi="仿宋" w:eastAsia="仿宋"/>
                <w:sz w:val="18"/>
                <w:szCs w:val="18"/>
                <w:highlight w:val="none"/>
                <w:u w:val="single"/>
                <w:lang w:val="en-US" w:eastAsia="zh-CN"/>
              </w:rPr>
              <w:t>39</w:t>
            </w:r>
            <w:r>
              <w:rPr>
                <w:rFonts w:hint="eastAsia" w:ascii="仿宋" w:hAnsi="仿宋" w:eastAsia="仿宋"/>
                <w:sz w:val="18"/>
                <w:szCs w:val="18"/>
                <w:highlight w:val="none"/>
              </w:rPr>
              <w:t>期净值型人民币理财产品</w:t>
            </w:r>
          </w:p>
        </w:tc>
      </w:tr>
      <w:tr w14:paraId="0B40F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 w:hRule="atLeast"/>
        </w:trPr>
        <w:tc>
          <w:tcPr>
            <w:tcW w:w="1701" w:type="dxa"/>
            <w:noWrap w:val="0"/>
            <w:vAlign w:val="center"/>
          </w:tcPr>
          <w:p w14:paraId="59837D52">
            <w:pPr>
              <w:jc w:val="center"/>
              <w:rPr>
                <w:rFonts w:ascii="仿宋" w:hAnsi="仿宋" w:eastAsia="仿宋"/>
                <w:b/>
                <w:sz w:val="18"/>
                <w:szCs w:val="18"/>
                <w:highlight w:val="none"/>
              </w:rPr>
            </w:pPr>
            <w:r>
              <w:rPr>
                <w:rFonts w:hint="eastAsia" w:ascii="仿宋" w:hAnsi="仿宋" w:eastAsia="仿宋"/>
                <w:b/>
                <w:sz w:val="18"/>
                <w:szCs w:val="18"/>
                <w:highlight w:val="none"/>
              </w:rPr>
              <w:t>产品登记编码</w:t>
            </w:r>
          </w:p>
        </w:tc>
        <w:tc>
          <w:tcPr>
            <w:tcW w:w="7513" w:type="dxa"/>
            <w:noWrap w:val="0"/>
            <w:vAlign w:val="center"/>
          </w:tcPr>
          <w:p w14:paraId="3EA78F72">
            <w:pPr>
              <w:keepNext w:val="0"/>
              <w:keepLines w:val="0"/>
              <w:widowControl/>
              <w:suppressLineNumbers w:val="0"/>
              <w:jc w:val="left"/>
              <w:rPr>
                <w:rFonts w:ascii="仿宋" w:hAnsi="仿宋" w:eastAsia="仿宋"/>
                <w:sz w:val="18"/>
                <w:szCs w:val="18"/>
                <w:highlight w:val="none"/>
              </w:rPr>
            </w:pPr>
            <w:r>
              <w:rPr>
                <w:rFonts w:hint="eastAsia" w:ascii="仿宋" w:hAnsi="仿宋" w:eastAsia="仿宋" w:cs="Times New Roman"/>
                <w:sz w:val="18"/>
                <w:szCs w:val="18"/>
                <w:highlight w:val="none"/>
                <w:lang w:val="en-US" w:eastAsia="zh-CN"/>
              </w:rPr>
              <w:t>本产品</w:t>
            </w:r>
            <w:r>
              <w:rPr>
                <w:rFonts w:hint="eastAsia" w:ascii="仿宋" w:hAnsi="仿宋" w:eastAsia="仿宋" w:cs="Times New Roman"/>
                <w:sz w:val="18"/>
                <w:szCs w:val="18"/>
                <w:highlight w:val="none"/>
              </w:rPr>
              <w:t>全国银行业理财信息登记系统的登记编码</w:t>
            </w:r>
            <w:r>
              <w:rPr>
                <w:rFonts w:ascii="仿宋" w:hAnsi="仿宋" w:eastAsia="仿宋"/>
                <w:sz w:val="18"/>
                <w:szCs w:val="18"/>
                <w:highlight w:val="none"/>
              </w:rPr>
              <w:t>是</w:t>
            </w:r>
            <w:r>
              <w:rPr>
                <w:rFonts w:hint="eastAsia" w:ascii="仿宋" w:hAnsi="仿宋" w:eastAsia="仿宋"/>
                <w:sz w:val="18"/>
                <w:szCs w:val="18"/>
                <w:u w:val="single"/>
              </w:rPr>
              <w:t>C12061260000</w:t>
            </w:r>
            <w:r>
              <w:rPr>
                <w:rFonts w:hint="eastAsia" w:ascii="仿宋" w:hAnsi="仿宋" w:eastAsia="仿宋"/>
                <w:sz w:val="18"/>
                <w:szCs w:val="18"/>
                <w:u w:val="single"/>
                <w:lang w:val="en-US" w:eastAsia="zh-CN"/>
              </w:rPr>
              <w:t>38</w:t>
            </w:r>
            <w:r>
              <w:rPr>
                <w:rFonts w:ascii="仿宋" w:hAnsi="仿宋" w:eastAsia="仿宋"/>
                <w:sz w:val="18"/>
                <w:szCs w:val="18"/>
                <w:highlight w:val="none"/>
              </w:rPr>
              <w:t>,投资者可依据该编码</w:t>
            </w:r>
            <w:r>
              <w:rPr>
                <w:rFonts w:ascii="仿宋" w:hAnsi="仿宋" w:eastAsia="仿宋" w:cs="Times New Roman"/>
                <w:sz w:val="18"/>
                <w:szCs w:val="18"/>
                <w:highlight w:val="none"/>
              </w:rPr>
              <w:t>在</w:t>
            </w:r>
            <w:r>
              <w:rPr>
                <w:rFonts w:ascii="仿宋" w:hAnsi="仿宋" w:eastAsia="仿宋" w:cs="Times New Roman"/>
                <w:sz w:val="18"/>
                <w:szCs w:val="18"/>
                <w:highlight w:val="none"/>
                <w:lang w:val="en-US" w:eastAsia="zh-CN"/>
              </w:rPr>
              <w:t>"中国理财网（</w:t>
            </w:r>
            <w:r>
              <w:rPr>
                <w:rFonts w:hint="eastAsia" w:ascii="仿宋" w:hAnsi="仿宋" w:eastAsia="仿宋" w:cs="Times New Roman"/>
                <w:sz w:val="18"/>
                <w:szCs w:val="18"/>
                <w:highlight w:val="none"/>
                <w:lang w:val="en-US" w:eastAsia="zh-CN"/>
              </w:rPr>
              <w:t>www.chinawealth.com.cn）"</w:t>
            </w:r>
            <w:r>
              <w:rPr>
                <w:rFonts w:ascii="仿宋" w:hAnsi="仿宋" w:eastAsia="仿宋" w:cs="Times New Roman"/>
                <w:sz w:val="18"/>
                <w:szCs w:val="18"/>
                <w:highlight w:val="none"/>
              </w:rPr>
              <w:t>查询该产品信息</w:t>
            </w:r>
            <w:r>
              <w:rPr>
                <w:rFonts w:hint="eastAsia" w:ascii="仿宋" w:hAnsi="仿宋" w:eastAsia="仿宋" w:cs="Times New Roman"/>
                <w:sz w:val="18"/>
                <w:szCs w:val="18"/>
                <w:highlight w:val="none"/>
              </w:rPr>
              <w:t>。</w:t>
            </w:r>
          </w:p>
        </w:tc>
      </w:tr>
      <w:tr w14:paraId="04498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 w:hRule="atLeast"/>
        </w:trPr>
        <w:tc>
          <w:tcPr>
            <w:tcW w:w="1701" w:type="dxa"/>
            <w:noWrap w:val="0"/>
            <w:vAlign w:val="center"/>
          </w:tcPr>
          <w:p w14:paraId="4318DF32">
            <w:pPr>
              <w:jc w:val="center"/>
              <w:rPr>
                <w:rFonts w:ascii="仿宋" w:hAnsi="仿宋" w:eastAsia="仿宋"/>
                <w:b/>
                <w:sz w:val="18"/>
                <w:szCs w:val="18"/>
                <w:highlight w:val="none"/>
              </w:rPr>
            </w:pPr>
            <w:r>
              <w:rPr>
                <w:rFonts w:hint="eastAsia" w:ascii="仿宋" w:hAnsi="仿宋" w:eastAsia="仿宋"/>
                <w:b/>
                <w:sz w:val="18"/>
                <w:szCs w:val="18"/>
                <w:highlight w:val="none"/>
              </w:rPr>
              <w:t>行内理财业务编码</w:t>
            </w:r>
          </w:p>
        </w:tc>
        <w:tc>
          <w:tcPr>
            <w:tcW w:w="7513" w:type="dxa"/>
            <w:noWrap w:val="0"/>
            <w:vAlign w:val="center"/>
          </w:tcPr>
          <w:p w14:paraId="37760C1F">
            <w:pPr>
              <w:rPr>
                <w:rFonts w:hint="default" w:ascii="仿宋" w:hAnsi="仿宋" w:eastAsia="仿宋"/>
                <w:sz w:val="18"/>
                <w:szCs w:val="18"/>
                <w:highlight w:val="none"/>
                <w:u w:val="single"/>
                <w:lang w:val="en-US" w:eastAsia="zh-CN"/>
              </w:rPr>
            </w:pPr>
            <w:r>
              <w:rPr>
                <w:rFonts w:hint="eastAsia" w:ascii="仿宋" w:hAnsi="仿宋" w:eastAsia="仿宋"/>
                <w:sz w:val="18"/>
                <w:szCs w:val="18"/>
                <w:u w:val="single"/>
              </w:rPr>
              <w:t>DLNSJZ26010</w:t>
            </w:r>
            <w:r>
              <w:rPr>
                <w:rFonts w:hint="eastAsia" w:ascii="仿宋" w:hAnsi="仿宋" w:eastAsia="仿宋"/>
                <w:sz w:val="18"/>
                <w:szCs w:val="18"/>
                <w:u w:val="single"/>
                <w:lang w:val="en-US" w:eastAsia="zh-CN"/>
              </w:rPr>
              <w:t>9</w:t>
            </w:r>
            <w:r>
              <w:rPr>
                <w:rFonts w:hint="eastAsia" w:ascii="仿宋" w:hAnsi="仿宋" w:eastAsia="仿宋"/>
                <w:sz w:val="18"/>
                <w:szCs w:val="18"/>
                <w:u w:val="single"/>
              </w:rPr>
              <w:t>00</w:t>
            </w:r>
            <w:r>
              <w:rPr>
                <w:rFonts w:hint="eastAsia" w:ascii="仿宋" w:hAnsi="仿宋" w:eastAsia="仿宋"/>
                <w:sz w:val="18"/>
                <w:szCs w:val="18"/>
                <w:u w:val="single"/>
                <w:lang w:val="en-US" w:eastAsia="zh-CN"/>
              </w:rPr>
              <w:t>1B</w:t>
            </w:r>
          </w:p>
        </w:tc>
      </w:tr>
      <w:tr w14:paraId="01F6B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1701" w:type="dxa"/>
            <w:noWrap w:val="0"/>
            <w:vAlign w:val="center"/>
          </w:tcPr>
          <w:p w14:paraId="070A6287">
            <w:pPr>
              <w:jc w:val="center"/>
              <w:rPr>
                <w:rFonts w:ascii="仿宋" w:hAnsi="仿宋" w:eastAsia="仿宋"/>
                <w:b/>
                <w:sz w:val="18"/>
                <w:szCs w:val="18"/>
                <w:highlight w:val="none"/>
              </w:rPr>
            </w:pPr>
            <w:r>
              <w:rPr>
                <w:rFonts w:hint="eastAsia" w:ascii="仿宋" w:hAnsi="仿宋" w:eastAsia="仿宋"/>
                <w:b/>
                <w:sz w:val="18"/>
                <w:szCs w:val="18"/>
                <w:highlight w:val="none"/>
              </w:rPr>
              <w:t>产品结构</w:t>
            </w:r>
          </w:p>
        </w:tc>
        <w:tc>
          <w:tcPr>
            <w:tcW w:w="7513" w:type="dxa"/>
            <w:noWrap w:val="0"/>
            <w:vAlign w:val="center"/>
          </w:tcPr>
          <w:p w14:paraId="6E65D9BF">
            <w:pPr>
              <w:rPr>
                <w:rFonts w:hint="eastAsia" w:ascii="仿宋" w:hAnsi="仿宋" w:eastAsia="仿宋"/>
                <w:sz w:val="18"/>
                <w:szCs w:val="18"/>
                <w:highlight w:val="none"/>
                <w:lang w:val="en-US" w:eastAsia="zh-CN"/>
              </w:rPr>
            </w:pPr>
            <w:r>
              <w:rPr>
                <w:rFonts w:hint="eastAsia" w:ascii="仿宋" w:hAnsi="仿宋" w:eastAsia="仿宋"/>
                <w:color w:val="000000"/>
                <w:sz w:val="18"/>
                <w:szCs w:val="18"/>
                <w:highlight w:val="none"/>
              </w:rPr>
              <w:t>本产品按照本协议约定费率扣除产品相关费用后，客户可按照“金额认购”原则对本产品进行认购，到期后全部赎回</w:t>
            </w:r>
            <w:r>
              <w:rPr>
                <w:rFonts w:hint="eastAsia" w:ascii="仿宋" w:hAnsi="仿宋" w:eastAsia="仿宋"/>
                <w:color w:val="000000"/>
                <w:sz w:val="18"/>
                <w:szCs w:val="18"/>
                <w:highlight w:val="none"/>
                <w:lang w:eastAsia="zh-CN"/>
              </w:rPr>
              <w:t>。</w:t>
            </w:r>
          </w:p>
        </w:tc>
      </w:tr>
      <w:tr w14:paraId="5652A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1701" w:type="dxa"/>
            <w:noWrap w:val="0"/>
            <w:vAlign w:val="center"/>
          </w:tcPr>
          <w:p w14:paraId="353446DB">
            <w:pPr>
              <w:jc w:val="center"/>
              <w:rPr>
                <w:rFonts w:hint="default" w:ascii="仿宋" w:hAnsi="仿宋" w:eastAsia="仿宋"/>
                <w:b/>
                <w:sz w:val="18"/>
                <w:szCs w:val="18"/>
                <w:highlight w:val="none"/>
                <w:lang w:val="en-US" w:eastAsia="zh-CN"/>
              </w:rPr>
            </w:pPr>
            <w:r>
              <w:rPr>
                <w:rFonts w:hint="eastAsia" w:ascii="仿宋" w:hAnsi="仿宋" w:eastAsia="仿宋"/>
                <w:b/>
                <w:sz w:val="18"/>
                <w:szCs w:val="18"/>
                <w:highlight w:val="none"/>
                <w:lang w:val="en-US" w:eastAsia="zh-CN"/>
              </w:rPr>
              <w:t>产品管理人</w:t>
            </w:r>
          </w:p>
        </w:tc>
        <w:tc>
          <w:tcPr>
            <w:tcW w:w="7513" w:type="dxa"/>
            <w:noWrap w:val="0"/>
            <w:vAlign w:val="center"/>
          </w:tcPr>
          <w:p w14:paraId="0D5BB650">
            <w:pPr>
              <w:rPr>
                <w:rFonts w:hint="default" w:ascii="仿宋" w:hAnsi="仿宋" w:eastAsia="仿宋"/>
                <w:sz w:val="18"/>
                <w:szCs w:val="18"/>
                <w:highlight w:val="none"/>
                <w:lang w:val="en-US" w:eastAsia="zh-CN"/>
              </w:rPr>
            </w:pPr>
            <w:r>
              <w:rPr>
                <w:rFonts w:hint="eastAsia" w:ascii="仿宋" w:hAnsi="仿宋" w:eastAsia="仿宋"/>
                <w:sz w:val="18"/>
                <w:szCs w:val="18"/>
                <w:highlight w:val="none"/>
                <w:lang w:val="en-US" w:eastAsia="zh-CN"/>
              </w:rPr>
              <w:t>大连农村商业银行股份有限公司，相关主体基本情况详见“</w:t>
            </w:r>
            <w:r>
              <w:rPr>
                <w:rFonts w:hint="eastAsia" w:ascii="仿宋" w:hAnsi="仿宋" w:eastAsia="仿宋"/>
                <w:b/>
                <w:bCs/>
                <w:sz w:val="18"/>
                <w:szCs w:val="18"/>
                <w:highlight w:val="none"/>
                <w:lang w:val="en-US" w:eastAsia="zh-CN"/>
              </w:rPr>
              <w:t>合作机构及主要职责</w:t>
            </w:r>
            <w:r>
              <w:rPr>
                <w:rFonts w:hint="eastAsia" w:ascii="仿宋" w:hAnsi="仿宋" w:eastAsia="仿宋"/>
                <w:sz w:val="18"/>
                <w:szCs w:val="18"/>
                <w:highlight w:val="none"/>
                <w:lang w:val="en-US" w:eastAsia="zh-CN"/>
              </w:rPr>
              <w:t>”。</w:t>
            </w:r>
          </w:p>
        </w:tc>
      </w:tr>
      <w:tr w14:paraId="0701A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1701" w:type="dxa"/>
            <w:noWrap w:val="0"/>
            <w:vAlign w:val="center"/>
          </w:tcPr>
          <w:p w14:paraId="3B0C9612">
            <w:pPr>
              <w:jc w:val="center"/>
              <w:rPr>
                <w:rFonts w:hint="eastAsia" w:ascii="仿宋" w:hAnsi="仿宋" w:eastAsia="仿宋"/>
                <w:b/>
                <w:sz w:val="18"/>
                <w:szCs w:val="18"/>
                <w:highlight w:val="none"/>
                <w:lang w:val="en-US" w:eastAsia="zh-CN"/>
              </w:rPr>
            </w:pPr>
            <w:r>
              <w:rPr>
                <w:rFonts w:hint="eastAsia" w:ascii="仿宋" w:hAnsi="仿宋" w:eastAsia="仿宋"/>
                <w:b/>
                <w:sz w:val="18"/>
                <w:szCs w:val="18"/>
                <w:highlight w:val="none"/>
                <w:lang w:val="en-US" w:eastAsia="zh-CN"/>
              </w:rPr>
              <w:t>产品销售机构</w:t>
            </w:r>
          </w:p>
        </w:tc>
        <w:tc>
          <w:tcPr>
            <w:tcW w:w="7513" w:type="dxa"/>
            <w:noWrap w:val="0"/>
            <w:vAlign w:val="center"/>
          </w:tcPr>
          <w:p w14:paraId="70E13CDE">
            <w:pPr>
              <w:rPr>
                <w:rFonts w:hint="eastAsia" w:ascii="仿宋" w:hAnsi="仿宋" w:eastAsia="仿宋"/>
                <w:sz w:val="18"/>
                <w:szCs w:val="18"/>
                <w:highlight w:val="none"/>
              </w:rPr>
            </w:pPr>
            <w:r>
              <w:rPr>
                <w:rFonts w:hint="eastAsia" w:ascii="仿宋" w:hAnsi="仿宋" w:eastAsia="仿宋"/>
                <w:sz w:val="18"/>
                <w:szCs w:val="18"/>
                <w:highlight w:val="none"/>
                <w:lang w:val="en-US" w:eastAsia="zh-CN"/>
              </w:rPr>
              <w:t>大连农村商业银行股份有限公司，相关主体基本情况详见“</w:t>
            </w:r>
            <w:r>
              <w:rPr>
                <w:rFonts w:hint="eastAsia" w:ascii="仿宋" w:hAnsi="仿宋" w:eastAsia="仿宋"/>
                <w:b/>
                <w:bCs/>
                <w:sz w:val="18"/>
                <w:szCs w:val="18"/>
                <w:highlight w:val="none"/>
                <w:lang w:val="en-US" w:eastAsia="zh-CN"/>
              </w:rPr>
              <w:t>合作机构及主要职责</w:t>
            </w:r>
            <w:r>
              <w:rPr>
                <w:rFonts w:hint="eastAsia" w:ascii="仿宋" w:hAnsi="仿宋" w:eastAsia="仿宋"/>
                <w:sz w:val="18"/>
                <w:szCs w:val="18"/>
                <w:highlight w:val="none"/>
                <w:lang w:val="en-US" w:eastAsia="zh-CN"/>
              </w:rPr>
              <w:t>”。</w:t>
            </w:r>
          </w:p>
        </w:tc>
      </w:tr>
      <w:tr w14:paraId="5D3AF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1701" w:type="dxa"/>
            <w:noWrap w:val="0"/>
            <w:vAlign w:val="center"/>
          </w:tcPr>
          <w:p w14:paraId="0A12D846">
            <w:pPr>
              <w:jc w:val="center"/>
              <w:rPr>
                <w:rFonts w:hint="eastAsia" w:ascii="仿宋" w:hAnsi="仿宋" w:eastAsia="仿宋"/>
                <w:b/>
                <w:sz w:val="18"/>
                <w:szCs w:val="18"/>
                <w:highlight w:val="none"/>
                <w:lang w:val="en-US" w:eastAsia="zh-CN"/>
              </w:rPr>
            </w:pPr>
            <w:r>
              <w:rPr>
                <w:rFonts w:hint="eastAsia" w:ascii="仿宋" w:hAnsi="仿宋" w:eastAsia="仿宋"/>
                <w:b/>
                <w:sz w:val="18"/>
                <w:szCs w:val="18"/>
                <w:highlight w:val="none"/>
                <w:lang w:val="en-US" w:eastAsia="zh-CN"/>
              </w:rPr>
              <w:t>产品托管机构</w:t>
            </w:r>
          </w:p>
        </w:tc>
        <w:tc>
          <w:tcPr>
            <w:tcW w:w="7513" w:type="dxa"/>
            <w:noWrap w:val="0"/>
            <w:vAlign w:val="center"/>
          </w:tcPr>
          <w:p w14:paraId="46642BD6">
            <w:pPr>
              <w:rPr>
                <w:rFonts w:hint="default" w:ascii="仿宋" w:hAnsi="仿宋" w:eastAsia="仿宋"/>
                <w:sz w:val="18"/>
                <w:szCs w:val="18"/>
                <w:highlight w:val="none"/>
                <w:lang w:val="en-US" w:eastAsia="zh-CN"/>
              </w:rPr>
            </w:pPr>
            <w:r>
              <w:rPr>
                <w:rFonts w:hint="eastAsia" w:ascii="仿宋" w:hAnsi="仿宋" w:eastAsia="仿宋"/>
                <w:sz w:val="18"/>
                <w:szCs w:val="18"/>
                <w:highlight w:val="none"/>
                <w:lang w:val="en-US" w:eastAsia="zh-CN"/>
              </w:rPr>
              <w:t>宁波银行股份有限公司，相关主体基本情况详见“</w:t>
            </w:r>
            <w:r>
              <w:rPr>
                <w:rFonts w:hint="eastAsia" w:ascii="仿宋" w:hAnsi="仿宋" w:eastAsia="仿宋"/>
                <w:b/>
                <w:bCs/>
                <w:sz w:val="18"/>
                <w:szCs w:val="18"/>
                <w:highlight w:val="none"/>
                <w:lang w:val="en-US" w:eastAsia="zh-CN"/>
              </w:rPr>
              <w:t>合作机构及主要职责</w:t>
            </w:r>
            <w:r>
              <w:rPr>
                <w:rFonts w:hint="eastAsia" w:ascii="仿宋" w:hAnsi="仿宋" w:eastAsia="仿宋"/>
                <w:sz w:val="18"/>
                <w:szCs w:val="18"/>
                <w:highlight w:val="none"/>
                <w:lang w:val="en-US" w:eastAsia="zh-CN"/>
              </w:rPr>
              <w:t>”。</w:t>
            </w:r>
          </w:p>
        </w:tc>
      </w:tr>
      <w:tr w14:paraId="34D6C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1701" w:type="dxa"/>
            <w:noWrap w:val="0"/>
            <w:vAlign w:val="center"/>
          </w:tcPr>
          <w:p w14:paraId="74ED1320">
            <w:pPr>
              <w:jc w:val="center"/>
              <w:rPr>
                <w:rFonts w:hint="default" w:ascii="仿宋" w:hAnsi="仿宋" w:eastAsia="仿宋"/>
                <w:b/>
                <w:sz w:val="18"/>
                <w:szCs w:val="18"/>
                <w:highlight w:val="none"/>
                <w:lang w:val="en-US" w:eastAsia="zh-CN"/>
              </w:rPr>
            </w:pPr>
            <w:r>
              <w:rPr>
                <w:rFonts w:hint="eastAsia" w:ascii="仿宋" w:hAnsi="仿宋" w:eastAsia="仿宋"/>
                <w:b/>
                <w:sz w:val="18"/>
                <w:szCs w:val="18"/>
                <w:highlight w:val="none"/>
                <w:lang w:val="en-US" w:eastAsia="zh-CN"/>
              </w:rPr>
              <w:t>运作方式</w:t>
            </w:r>
          </w:p>
        </w:tc>
        <w:tc>
          <w:tcPr>
            <w:tcW w:w="7513" w:type="dxa"/>
            <w:noWrap w:val="0"/>
            <w:vAlign w:val="center"/>
          </w:tcPr>
          <w:p w14:paraId="7569BF48">
            <w:pPr>
              <w:rPr>
                <w:rFonts w:ascii="仿宋" w:hAnsi="仿宋" w:eastAsia="仿宋"/>
                <w:sz w:val="18"/>
                <w:szCs w:val="18"/>
                <w:highlight w:val="none"/>
              </w:rPr>
            </w:pPr>
            <w:r>
              <w:rPr>
                <w:rFonts w:hint="eastAsia" w:ascii="仿宋" w:hAnsi="仿宋" w:eastAsia="仿宋"/>
                <w:sz w:val="18"/>
                <w:szCs w:val="18"/>
                <w:highlight w:val="none"/>
              </w:rPr>
              <w:t>封闭式净值型</w:t>
            </w:r>
            <w:r>
              <w:rPr>
                <w:rFonts w:ascii="仿宋" w:hAnsi="仿宋" w:eastAsia="仿宋"/>
                <w:sz w:val="18"/>
                <w:szCs w:val="18"/>
                <w:highlight w:val="none"/>
              </w:rPr>
              <w:t>产品</w:t>
            </w:r>
          </w:p>
        </w:tc>
      </w:tr>
      <w:tr w14:paraId="1DE68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1701" w:type="dxa"/>
            <w:noWrap w:val="0"/>
            <w:vAlign w:val="center"/>
          </w:tcPr>
          <w:p w14:paraId="19378CA2">
            <w:pPr>
              <w:jc w:val="center"/>
              <w:rPr>
                <w:rFonts w:ascii="仿宋" w:hAnsi="仿宋" w:eastAsia="仿宋"/>
                <w:b/>
                <w:sz w:val="18"/>
                <w:szCs w:val="18"/>
                <w:highlight w:val="none"/>
              </w:rPr>
            </w:pPr>
            <w:r>
              <w:rPr>
                <w:rFonts w:hint="eastAsia" w:ascii="仿宋" w:hAnsi="仿宋" w:eastAsia="仿宋"/>
                <w:b/>
                <w:sz w:val="18"/>
                <w:szCs w:val="18"/>
                <w:highlight w:val="none"/>
              </w:rPr>
              <w:t>产品类型</w:t>
            </w:r>
          </w:p>
        </w:tc>
        <w:tc>
          <w:tcPr>
            <w:tcW w:w="7513" w:type="dxa"/>
            <w:noWrap w:val="0"/>
            <w:vAlign w:val="center"/>
          </w:tcPr>
          <w:p w14:paraId="0954E962">
            <w:pPr>
              <w:keepNext w:val="0"/>
              <w:keepLines w:val="0"/>
              <w:widowControl/>
              <w:suppressLineNumbers w:val="0"/>
              <w:jc w:val="left"/>
              <w:rPr>
                <w:rFonts w:hint="eastAsia" w:ascii="仿宋" w:hAnsi="仿宋" w:eastAsia="仿宋"/>
                <w:sz w:val="18"/>
                <w:szCs w:val="18"/>
                <w:highlight w:val="none"/>
                <w:lang w:eastAsia="zh-CN"/>
              </w:rPr>
            </w:pPr>
            <w:r>
              <w:rPr>
                <w:rFonts w:hint="eastAsia" w:ascii="仿宋" w:hAnsi="仿宋" w:eastAsia="仿宋"/>
                <w:sz w:val="18"/>
                <w:szCs w:val="18"/>
                <w:highlight w:val="none"/>
              </w:rPr>
              <w:t>固定收益类产品</w:t>
            </w:r>
            <w:r>
              <w:rPr>
                <w:rFonts w:hint="eastAsia" w:ascii="仿宋" w:hAnsi="仿宋" w:eastAsia="仿宋" w:cs="Times New Roman"/>
                <w:sz w:val="18"/>
                <w:szCs w:val="18"/>
                <w:highlight w:val="none"/>
                <w:lang w:eastAsia="zh-CN"/>
              </w:rPr>
              <w:t>、</w:t>
            </w:r>
            <w:r>
              <w:rPr>
                <w:rFonts w:hint="eastAsia" w:ascii="仿宋" w:hAnsi="仿宋" w:eastAsia="仿宋" w:cs="Times New Roman"/>
                <w:sz w:val="18"/>
                <w:szCs w:val="18"/>
                <w:highlight w:val="none"/>
                <w:lang w:val="en-US" w:eastAsia="zh-CN"/>
              </w:rPr>
              <w:t>非保本浮动收益型，</w:t>
            </w:r>
            <w:r>
              <w:rPr>
                <w:rFonts w:hint="eastAsia" w:ascii="仿宋" w:hAnsi="仿宋" w:eastAsia="仿宋"/>
                <w:sz w:val="18"/>
                <w:szCs w:val="18"/>
                <w:highlight w:val="none"/>
              </w:rPr>
              <w:t>详细投资品种与比例详见“</w:t>
            </w:r>
            <w:r>
              <w:rPr>
                <w:rFonts w:hint="eastAsia" w:ascii="仿宋" w:hAnsi="仿宋" w:eastAsia="仿宋"/>
                <w:b/>
                <w:sz w:val="18"/>
                <w:szCs w:val="18"/>
                <w:highlight w:val="none"/>
              </w:rPr>
              <w:t>投资方向与范围</w:t>
            </w:r>
            <w:r>
              <w:rPr>
                <w:rFonts w:hint="eastAsia" w:ascii="仿宋" w:hAnsi="仿宋" w:eastAsia="仿宋"/>
                <w:sz w:val="18"/>
                <w:szCs w:val="18"/>
                <w:highlight w:val="none"/>
              </w:rPr>
              <w:t>”</w:t>
            </w:r>
            <w:r>
              <w:rPr>
                <w:rFonts w:hint="eastAsia" w:ascii="仿宋" w:hAnsi="仿宋" w:eastAsia="仿宋"/>
                <w:sz w:val="18"/>
                <w:szCs w:val="18"/>
                <w:highlight w:val="none"/>
                <w:lang w:eastAsia="zh-CN"/>
              </w:rPr>
              <w:t>。</w:t>
            </w:r>
          </w:p>
        </w:tc>
      </w:tr>
      <w:tr w14:paraId="4F5A2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1701" w:type="dxa"/>
            <w:noWrap w:val="0"/>
            <w:vAlign w:val="center"/>
          </w:tcPr>
          <w:p w14:paraId="6C2BE4E6">
            <w:pPr>
              <w:jc w:val="center"/>
              <w:rPr>
                <w:rFonts w:hint="default" w:ascii="仿宋" w:hAnsi="仿宋" w:eastAsia="仿宋"/>
                <w:b/>
                <w:sz w:val="18"/>
                <w:szCs w:val="18"/>
                <w:highlight w:val="none"/>
                <w:lang w:val="en-US" w:eastAsia="zh-CN"/>
              </w:rPr>
            </w:pPr>
            <w:r>
              <w:rPr>
                <w:rFonts w:hint="eastAsia" w:ascii="仿宋" w:hAnsi="仿宋" w:eastAsia="仿宋"/>
                <w:b/>
                <w:sz w:val="18"/>
                <w:szCs w:val="18"/>
                <w:highlight w:val="none"/>
                <w:lang w:val="en-US" w:eastAsia="zh-CN"/>
              </w:rPr>
              <w:t>募集方式</w:t>
            </w:r>
          </w:p>
        </w:tc>
        <w:tc>
          <w:tcPr>
            <w:tcW w:w="7513" w:type="dxa"/>
            <w:noWrap w:val="0"/>
            <w:vAlign w:val="center"/>
          </w:tcPr>
          <w:p w14:paraId="1D74EE39">
            <w:pPr>
              <w:rPr>
                <w:rFonts w:hint="default" w:ascii="仿宋" w:hAnsi="仿宋" w:eastAsia="仿宋"/>
                <w:b/>
                <w:color w:val="000000"/>
                <w:sz w:val="18"/>
                <w:szCs w:val="18"/>
                <w:highlight w:val="none"/>
                <w:lang w:val="en-US" w:eastAsia="zh-CN"/>
              </w:rPr>
            </w:pPr>
            <w:r>
              <w:rPr>
                <w:rFonts w:hint="eastAsia" w:ascii="仿宋" w:hAnsi="仿宋" w:eastAsia="仿宋"/>
                <w:b w:val="0"/>
                <w:bCs/>
                <w:color w:val="000000"/>
                <w:sz w:val="18"/>
                <w:szCs w:val="18"/>
                <w:highlight w:val="none"/>
                <w:lang w:val="en-US" w:eastAsia="zh-CN"/>
              </w:rPr>
              <w:t>公开募集</w:t>
            </w:r>
          </w:p>
        </w:tc>
      </w:tr>
      <w:tr w14:paraId="7673D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1701" w:type="dxa"/>
            <w:noWrap w:val="0"/>
            <w:vAlign w:val="center"/>
          </w:tcPr>
          <w:p w14:paraId="1BC483CA">
            <w:pPr>
              <w:jc w:val="center"/>
              <w:rPr>
                <w:rFonts w:hint="eastAsia" w:ascii="仿宋" w:hAnsi="仿宋" w:eastAsia="仿宋"/>
                <w:b/>
                <w:sz w:val="18"/>
                <w:szCs w:val="18"/>
                <w:highlight w:val="none"/>
                <w:lang w:val="en-US" w:eastAsia="zh-CN"/>
              </w:rPr>
            </w:pPr>
            <w:r>
              <w:rPr>
                <w:rFonts w:hint="eastAsia" w:ascii="仿宋" w:hAnsi="仿宋" w:eastAsia="仿宋"/>
                <w:b/>
                <w:sz w:val="18"/>
                <w:szCs w:val="18"/>
                <w:highlight w:val="none"/>
                <w:lang w:val="en-US" w:eastAsia="zh-CN"/>
              </w:rPr>
              <w:t>销售对象</w:t>
            </w:r>
          </w:p>
        </w:tc>
        <w:tc>
          <w:tcPr>
            <w:tcW w:w="7513" w:type="dxa"/>
            <w:noWrap w:val="0"/>
            <w:vAlign w:val="center"/>
          </w:tcPr>
          <w:p w14:paraId="22C1696E">
            <w:pPr>
              <w:rPr>
                <w:rFonts w:hint="default" w:ascii="仿宋" w:hAnsi="仿宋" w:eastAsia="仿宋"/>
                <w:b/>
                <w:color w:val="000000"/>
                <w:sz w:val="18"/>
                <w:szCs w:val="18"/>
                <w:highlight w:val="none"/>
                <w:lang w:val="en-US" w:eastAsia="zh-CN"/>
              </w:rPr>
            </w:pPr>
            <w:r>
              <w:rPr>
                <w:rFonts w:hint="eastAsia" w:ascii="仿宋" w:hAnsi="仿宋" w:eastAsia="仿宋"/>
                <w:b w:val="0"/>
                <w:bCs/>
                <w:color w:val="000000"/>
                <w:sz w:val="18"/>
                <w:szCs w:val="18"/>
                <w:highlight w:val="none"/>
                <w:lang w:val="en-US" w:eastAsia="zh-CN"/>
              </w:rPr>
              <w:t>个人投资者</w:t>
            </w:r>
          </w:p>
        </w:tc>
      </w:tr>
      <w:tr w14:paraId="57F4C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1701" w:type="dxa"/>
            <w:noWrap w:val="0"/>
            <w:vAlign w:val="center"/>
          </w:tcPr>
          <w:p w14:paraId="0283C7BC">
            <w:pPr>
              <w:jc w:val="center"/>
              <w:rPr>
                <w:rFonts w:ascii="仿宋" w:hAnsi="仿宋" w:eastAsia="仿宋"/>
                <w:b/>
                <w:sz w:val="18"/>
                <w:szCs w:val="18"/>
                <w:highlight w:val="none"/>
              </w:rPr>
            </w:pPr>
            <w:r>
              <w:rPr>
                <w:rFonts w:hint="eastAsia" w:ascii="仿宋" w:hAnsi="仿宋" w:eastAsia="仿宋"/>
                <w:b/>
                <w:sz w:val="18"/>
                <w:szCs w:val="18"/>
                <w:highlight w:val="none"/>
              </w:rPr>
              <w:t>本金及收益</w:t>
            </w:r>
          </w:p>
        </w:tc>
        <w:tc>
          <w:tcPr>
            <w:tcW w:w="7513" w:type="dxa"/>
            <w:noWrap w:val="0"/>
            <w:vAlign w:val="center"/>
          </w:tcPr>
          <w:p w14:paraId="1E49033C">
            <w:pPr>
              <w:rPr>
                <w:rFonts w:hint="eastAsia" w:ascii="仿宋" w:hAnsi="仿宋" w:eastAsia="仿宋"/>
                <w:b/>
                <w:sz w:val="18"/>
                <w:szCs w:val="18"/>
                <w:highlight w:val="none"/>
                <w:lang w:val="en-US" w:eastAsia="zh-CN"/>
              </w:rPr>
            </w:pPr>
            <w:r>
              <w:rPr>
                <w:rFonts w:hint="eastAsia" w:ascii="仿宋" w:hAnsi="仿宋" w:eastAsia="仿宋"/>
                <w:b/>
                <w:color w:val="000000"/>
                <w:sz w:val="18"/>
                <w:szCs w:val="18"/>
                <w:highlight w:val="none"/>
              </w:rPr>
              <w:t>本理财产品不保证本金和收益，随投资收益浮动</w:t>
            </w:r>
            <w:r>
              <w:rPr>
                <w:rFonts w:hint="eastAsia" w:ascii="仿宋" w:hAnsi="仿宋" w:eastAsia="仿宋"/>
                <w:b/>
                <w:color w:val="000000"/>
                <w:sz w:val="18"/>
                <w:szCs w:val="18"/>
                <w:highlight w:val="none"/>
                <w:lang w:eastAsia="zh-CN"/>
              </w:rPr>
              <w:t>。</w:t>
            </w:r>
          </w:p>
        </w:tc>
      </w:tr>
      <w:tr w14:paraId="4D51F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01" w:type="dxa"/>
            <w:noWrap w:val="0"/>
            <w:vAlign w:val="center"/>
          </w:tcPr>
          <w:p w14:paraId="62DC73E8">
            <w:pPr>
              <w:jc w:val="center"/>
              <w:rPr>
                <w:rFonts w:ascii="仿宋" w:hAnsi="仿宋" w:eastAsia="仿宋"/>
                <w:b/>
                <w:sz w:val="18"/>
                <w:szCs w:val="18"/>
                <w:highlight w:val="none"/>
              </w:rPr>
            </w:pPr>
            <w:r>
              <w:rPr>
                <w:rFonts w:hint="eastAsia" w:ascii="仿宋" w:hAnsi="仿宋" w:eastAsia="仿宋"/>
                <w:b/>
                <w:sz w:val="18"/>
                <w:szCs w:val="18"/>
                <w:highlight w:val="none"/>
              </w:rPr>
              <w:t>本金及收益币种</w:t>
            </w:r>
          </w:p>
        </w:tc>
        <w:tc>
          <w:tcPr>
            <w:tcW w:w="7513" w:type="dxa"/>
            <w:noWrap w:val="0"/>
            <w:vAlign w:val="center"/>
          </w:tcPr>
          <w:p w14:paraId="13A3DD1E">
            <w:pPr>
              <w:rPr>
                <w:rFonts w:ascii="仿宋" w:hAnsi="仿宋" w:eastAsia="仿宋"/>
                <w:sz w:val="18"/>
                <w:szCs w:val="18"/>
                <w:highlight w:val="none"/>
              </w:rPr>
            </w:pPr>
            <w:r>
              <w:rPr>
                <w:rFonts w:hint="eastAsia" w:ascii="仿宋" w:hAnsi="仿宋" w:eastAsia="仿宋"/>
                <w:sz w:val="18"/>
                <w:szCs w:val="18"/>
                <w:highlight w:val="none"/>
              </w:rPr>
              <w:t>人民币</w:t>
            </w:r>
          </w:p>
        </w:tc>
      </w:tr>
      <w:tr w14:paraId="1C77F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1701" w:type="dxa"/>
            <w:noWrap w:val="0"/>
            <w:vAlign w:val="center"/>
          </w:tcPr>
          <w:p w14:paraId="42A8A42B">
            <w:pPr>
              <w:jc w:val="center"/>
              <w:rPr>
                <w:rFonts w:ascii="仿宋" w:hAnsi="仿宋" w:eastAsia="仿宋"/>
                <w:b/>
                <w:sz w:val="18"/>
                <w:szCs w:val="18"/>
                <w:highlight w:val="none"/>
              </w:rPr>
            </w:pPr>
            <w:r>
              <w:rPr>
                <w:rFonts w:hint="eastAsia" w:ascii="仿宋" w:hAnsi="仿宋" w:eastAsia="仿宋"/>
                <w:b/>
                <w:sz w:val="18"/>
                <w:szCs w:val="18"/>
                <w:highlight w:val="none"/>
              </w:rPr>
              <w:t>理财期限</w:t>
            </w:r>
          </w:p>
        </w:tc>
        <w:tc>
          <w:tcPr>
            <w:tcW w:w="7513" w:type="dxa"/>
            <w:noWrap w:val="0"/>
            <w:vAlign w:val="center"/>
          </w:tcPr>
          <w:p w14:paraId="5B7E540E">
            <w:pPr>
              <w:keepNext w:val="0"/>
              <w:keepLines w:val="0"/>
              <w:widowControl/>
              <w:suppressLineNumbers w:val="0"/>
              <w:jc w:val="left"/>
              <w:rPr>
                <w:rFonts w:hint="eastAsia" w:ascii="仿宋" w:hAnsi="仿宋" w:eastAsia="仿宋"/>
                <w:sz w:val="18"/>
                <w:szCs w:val="18"/>
                <w:highlight w:val="none"/>
                <w:lang w:eastAsia="zh-CN"/>
              </w:rPr>
            </w:pPr>
            <w:r>
              <w:rPr>
                <w:rFonts w:ascii="仿宋" w:hAnsi="仿宋" w:eastAsia="仿宋"/>
                <w:sz w:val="18"/>
                <w:szCs w:val="18"/>
                <w:highlight w:val="none"/>
              </w:rPr>
              <w:t>本理财</w:t>
            </w:r>
            <w:r>
              <w:rPr>
                <w:rFonts w:hint="eastAsia" w:ascii="仿宋" w:hAnsi="仿宋" w:eastAsia="仿宋"/>
                <w:sz w:val="18"/>
                <w:szCs w:val="18"/>
                <w:highlight w:val="none"/>
              </w:rPr>
              <w:t>产品</w:t>
            </w:r>
            <w:r>
              <w:rPr>
                <w:rFonts w:hint="eastAsia" w:ascii="仿宋" w:hAnsi="仿宋" w:eastAsia="仿宋"/>
                <w:sz w:val="18"/>
                <w:szCs w:val="18"/>
                <w:highlight w:val="none"/>
                <w:u w:val="single"/>
                <w:lang w:val="en-US" w:eastAsia="zh-CN"/>
              </w:rPr>
              <w:t>225</w:t>
            </w:r>
            <w:r>
              <w:rPr>
                <w:rFonts w:hint="eastAsia" w:ascii="仿宋" w:hAnsi="仿宋" w:eastAsia="仿宋"/>
                <w:sz w:val="18"/>
                <w:szCs w:val="18"/>
                <w:highlight w:val="none"/>
              </w:rPr>
              <w:t>天，</w:t>
            </w:r>
            <w:r>
              <w:rPr>
                <w:rFonts w:ascii="仿宋" w:hAnsi="仿宋" w:eastAsia="仿宋"/>
                <w:sz w:val="18"/>
                <w:szCs w:val="18"/>
                <w:highlight w:val="none"/>
              </w:rPr>
              <w:t>将于</w:t>
            </w:r>
            <w:r>
              <w:rPr>
                <w:rFonts w:hint="eastAsia" w:ascii="仿宋" w:hAnsi="仿宋" w:eastAsia="仿宋"/>
                <w:sz w:val="18"/>
                <w:szCs w:val="18"/>
                <w:u w:val="single"/>
              </w:rPr>
              <w:t>20</w:t>
            </w:r>
            <w:r>
              <w:rPr>
                <w:rFonts w:ascii="仿宋" w:hAnsi="仿宋" w:eastAsia="仿宋"/>
                <w:sz w:val="18"/>
                <w:szCs w:val="18"/>
                <w:u w:val="single"/>
              </w:rPr>
              <w:t>2</w:t>
            </w:r>
            <w:r>
              <w:rPr>
                <w:rFonts w:hint="default" w:ascii="仿宋" w:hAnsi="仿宋" w:eastAsia="仿宋"/>
                <w:sz w:val="18"/>
                <w:szCs w:val="18"/>
                <w:u w:val="single"/>
                <w:lang w:val="en-US"/>
              </w:rPr>
              <w:t>7</w:t>
            </w:r>
            <w:r>
              <w:rPr>
                <w:rFonts w:ascii="仿宋" w:hAnsi="仿宋" w:eastAsia="仿宋"/>
                <w:sz w:val="18"/>
                <w:szCs w:val="18"/>
                <w:u w:val="single"/>
              </w:rPr>
              <w:t>年</w:t>
            </w:r>
            <w:r>
              <w:rPr>
                <w:rFonts w:hint="default" w:ascii="仿宋" w:hAnsi="仿宋" w:eastAsia="仿宋"/>
                <w:sz w:val="18"/>
                <w:szCs w:val="18"/>
                <w:u w:val="single"/>
                <w:lang w:val="en-US"/>
              </w:rPr>
              <w:t>0</w:t>
            </w:r>
            <w:r>
              <w:rPr>
                <w:rFonts w:hint="eastAsia" w:ascii="仿宋" w:hAnsi="仿宋" w:eastAsia="仿宋"/>
                <w:sz w:val="18"/>
                <w:szCs w:val="18"/>
                <w:u w:val="single"/>
                <w:lang w:val="en-US" w:eastAsia="zh-CN"/>
              </w:rPr>
              <w:t>4</w:t>
            </w:r>
            <w:r>
              <w:rPr>
                <w:rFonts w:ascii="仿宋" w:hAnsi="仿宋" w:eastAsia="仿宋"/>
                <w:sz w:val="18"/>
                <w:szCs w:val="18"/>
                <w:u w:val="single"/>
              </w:rPr>
              <w:t>月</w:t>
            </w:r>
            <w:r>
              <w:rPr>
                <w:rFonts w:hint="eastAsia" w:ascii="仿宋" w:hAnsi="仿宋" w:eastAsia="仿宋"/>
                <w:sz w:val="18"/>
                <w:szCs w:val="18"/>
                <w:u w:val="single"/>
                <w:lang w:val="en-US" w:eastAsia="zh-CN"/>
              </w:rPr>
              <w:t>21</w:t>
            </w:r>
            <w:r>
              <w:rPr>
                <w:rFonts w:ascii="仿宋" w:hAnsi="仿宋" w:eastAsia="仿宋"/>
                <w:sz w:val="18"/>
                <w:szCs w:val="18"/>
                <w:u w:val="single"/>
              </w:rPr>
              <w:t>日</w:t>
            </w:r>
            <w:r>
              <w:rPr>
                <w:rFonts w:hint="eastAsia" w:ascii="仿宋" w:hAnsi="仿宋" w:eastAsia="仿宋" w:cs="Times New Roman"/>
                <w:sz w:val="18"/>
                <w:szCs w:val="18"/>
                <w:highlight w:val="none"/>
              </w:rPr>
              <w:t>到期，</w:t>
            </w:r>
            <w:r>
              <w:rPr>
                <w:rFonts w:hint="eastAsia" w:ascii="仿宋" w:hAnsi="仿宋" w:eastAsia="仿宋" w:cs="Times New Roman"/>
                <w:sz w:val="18"/>
                <w:szCs w:val="18"/>
                <w:highlight w:val="none"/>
                <w:lang w:val="en-US" w:eastAsia="zh-CN"/>
              </w:rPr>
              <w:t>期限为理财产品起息日（含）至到期日（不含）期间，</w:t>
            </w:r>
            <w:r>
              <w:rPr>
                <w:rFonts w:hint="eastAsia" w:ascii="仿宋" w:hAnsi="仿宋" w:eastAsia="仿宋" w:cs="Times New Roman"/>
                <w:sz w:val="18"/>
                <w:szCs w:val="18"/>
                <w:highlight w:val="none"/>
              </w:rPr>
              <w:t>但在符合本产品说明书规定的条件时，大连农商银行有权提前终止或延期终止本理财产品</w:t>
            </w:r>
            <w:r>
              <w:rPr>
                <w:rFonts w:hint="eastAsia" w:ascii="仿宋" w:hAnsi="仿宋" w:eastAsia="仿宋" w:cs="Times New Roman"/>
                <w:sz w:val="18"/>
                <w:szCs w:val="18"/>
                <w:highlight w:val="none"/>
                <w:lang w:eastAsia="zh-CN"/>
              </w:rPr>
              <w:t>，</w:t>
            </w:r>
            <w:r>
              <w:rPr>
                <w:rFonts w:hint="eastAsia" w:ascii="仿宋" w:hAnsi="仿宋" w:eastAsia="仿宋" w:cs="Times New Roman"/>
                <w:sz w:val="18"/>
                <w:szCs w:val="18"/>
                <w:highlight w:val="none"/>
                <w:lang w:val="en-US" w:eastAsia="zh-CN"/>
              </w:rPr>
              <w:t>实际产品期限截止至产品管理人确定的提前终止日</w:t>
            </w:r>
            <w:r>
              <w:rPr>
                <w:rFonts w:hint="eastAsia" w:ascii="仿宋" w:hAnsi="仿宋" w:eastAsia="仿宋" w:cs="Times New Roman"/>
                <w:sz w:val="18"/>
                <w:szCs w:val="18"/>
                <w:highlight w:val="none"/>
              </w:rPr>
              <w:t>。若确需行使，大连农商银行将另行公告</w:t>
            </w:r>
            <w:r>
              <w:rPr>
                <w:rFonts w:hint="eastAsia" w:ascii="仿宋" w:hAnsi="仿宋" w:eastAsia="仿宋" w:cs="Times New Roman"/>
                <w:sz w:val="18"/>
                <w:szCs w:val="18"/>
                <w:highlight w:val="none"/>
                <w:lang w:eastAsia="zh-CN"/>
              </w:rPr>
              <w:t>。</w:t>
            </w:r>
          </w:p>
        </w:tc>
      </w:tr>
      <w:tr w14:paraId="0A0EB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trPr>
        <w:tc>
          <w:tcPr>
            <w:tcW w:w="1701" w:type="dxa"/>
            <w:noWrap w:val="0"/>
            <w:vAlign w:val="center"/>
          </w:tcPr>
          <w:p w14:paraId="6EBB7FA5">
            <w:pPr>
              <w:jc w:val="center"/>
              <w:rPr>
                <w:rFonts w:ascii="仿宋" w:hAnsi="仿宋" w:eastAsia="仿宋"/>
                <w:b/>
                <w:sz w:val="18"/>
                <w:szCs w:val="18"/>
                <w:highlight w:val="none"/>
              </w:rPr>
            </w:pPr>
            <w:r>
              <w:rPr>
                <w:rFonts w:hint="eastAsia" w:ascii="仿宋" w:hAnsi="仿宋" w:eastAsia="仿宋"/>
                <w:b/>
                <w:sz w:val="18"/>
                <w:szCs w:val="18"/>
                <w:highlight w:val="none"/>
              </w:rPr>
              <w:t>业绩比较基准</w:t>
            </w:r>
          </w:p>
        </w:tc>
        <w:tc>
          <w:tcPr>
            <w:tcW w:w="7513" w:type="dxa"/>
            <w:noWrap w:val="0"/>
            <w:vAlign w:val="center"/>
          </w:tcPr>
          <w:p w14:paraId="667E3303">
            <w:pPr>
              <w:jc w:val="left"/>
              <w:rPr>
                <w:rFonts w:hint="eastAsia" w:ascii="仿宋" w:hAnsi="仿宋" w:eastAsia="仿宋"/>
                <w:sz w:val="18"/>
                <w:szCs w:val="18"/>
                <w:highlight w:val="none"/>
              </w:rPr>
            </w:pPr>
            <w:r>
              <w:rPr>
                <w:rFonts w:hint="eastAsia" w:ascii="仿宋" w:hAnsi="仿宋" w:eastAsia="仿宋"/>
                <w:sz w:val="18"/>
                <w:szCs w:val="18"/>
                <w:highlight w:val="none"/>
              </w:rPr>
              <w:t>本运作期年化业绩比较基准:</w:t>
            </w:r>
            <w:r>
              <w:rPr>
                <w:rFonts w:hint="eastAsia" w:ascii="仿宋" w:hAnsi="仿宋" w:eastAsia="仿宋"/>
                <w:sz w:val="18"/>
                <w:szCs w:val="18"/>
                <w:highlight w:val="none"/>
                <w:u w:val="single"/>
              </w:rPr>
              <w:t>产品发售起始日</w:t>
            </w:r>
            <w:r>
              <w:rPr>
                <w:rFonts w:hint="eastAsia" w:ascii="仿宋" w:hAnsi="仿宋" w:eastAsia="仿宋"/>
                <w:sz w:val="18"/>
                <w:szCs w:val="18"/>
                <w:highlight w:val="none"/>
                <w:u w:val="single"/>
                <w:lang w:eastAsia="zh-CN"/>
              </w:rPr>
              <w:t>大连农商银行</w:t>
            </w:r>
            <w:r>
              <w:rPr>
                <w:rFonts w:hint="eastAsia" w:ascii="仿宋" w:hAnsi="仿宋" w:eastAsia="仿宋"/>
                <w:sz w:val="18"/>
                <w:szCs w:val="18"/>
                <w:highlight w:val="none"/>
                <w:u w:val="single"/>
              </w:rPr>
              <w:t>“多利1号”一年期存款利率+</w:t>
            </w:r>
            <w:r>
              <w:rPr>
                <w:rFonts w:hint="eastAsia" w:ascii="仿宋" w:hAnsi="仿宋" w:eastAsia="仿宋"/>
                <w:sz w:val="18"/>
                <w:szCs w:val="18"/>
                <w:highlight w:val="none"/>
                <w:u w:val="single"/>
                <w:lang w:val="en-US" w:eastAsia="zh-CN"/>
              </w:rPr>
              <w:t>0.90</w:t>
            </w:r>
            <w:r>
              <w:rPr>
                <w:rFonts w:hint="eastAsia" w:ascii="仿宋" w:hAnsi="仿宋" w:eastAsia="仿宋"/>
                <w:sz w:val="18"/>
                <w:szCs w:val="18"/>
                <w:highlight w:val="none"/>
                <w:u w:val="single"/>
              </w:rPr>
              <w:t>%</w:t>
            </w:r>
            <w:r>
              <w:rPr>
                <w:rFonts w:hint="eastAsia" w:ascii="仿宋" w:hAnsi="仿宋" w:eastAsia="仿宋"/>
                <w:sz w:val="18"/>
                <w:szCs w:val="18"/>
                <w:highlight w:val="none"/>
              </w:rPr>
              <w:t>（根据产品近半年运行数据回测及近期市场行情确定本期产品业绩比较基准为</w:t>
            </w:r>
            <w:r>
              <w:rPr>
                <w:rFonts w:hint="eastAsia" w:ascii="仿宋" w:hAnsi="仿宋" w:eastAsia="仿宋"/>
                <w:sz w:val="18"/>
                <w:szCs w:val="18"/>
                <w:highlight w:val="none"/>
                <w:u w:val="single"/>
              </w:rPr>
              <w:t>产品发售起始日</w:t>
            </w:r>
            <w:r>
              <w:rPr>
                <w:rFonts w:hint="eastAsia" w:ascii="仿宋" w:hAnsi="仿宋" w:eastAsia="仿宋"/>
                <w:sz w:val="18"/>
                <w:szCs w:val="18"/>
                <w:highlight w:val="none"/>
                <w:u w:val="single"/>
                <w:lang w:eastAsia="zh-CN"/>
              </w:rPr>
              <w:t>大连农商银行</w:t>
            </w:r>
            <w:r>
              <w:rPr>
                <w:rFonts w:hint="eastAsia" w:ascii="仿宋" w:hAnsi="仿宋" w:eastAsia="仿宋"/>
                <w:sz w:val="18"/>
                <w:szCs w:val="18"/>
                <w:highlight w:val="none"/>
                <w:u w:val="single"/>
              </w:rPr>
              <w:t>“多利1号”一年期存款利率1.40%+</w:t>
            </w:r>
            <w:r>
              <w:rPr>
                <w:rFonts w:hint="eastAsia" w:ascii="仿宋" w:hAnsi="仿宋" w:eastAsia="仿宋"/>
                <w:sz w:val="18"/>
                <w:szCs w:val="18"/>
                <w:highlight w:val="none"/>
                <w:u w:val="single"/>
                <w:lang w:val="en-US" w:eastAsia="zh-CN"/>
              </w:rPr>
              <w:t>0.90</w:t>
            </w:r>
            <w:r>
              <w:rPr>
                <w:rFonts w:hint="eastAsia" w:ascii="仿宋" w:hAnsi="仿宋" w:eastAsia="仿宋"/>
                <w:sz w:val="18"/>
                <w:szCs w:val="18"/>
                <w:highlight w:val="none"/>
                <w:u w:val="single"/>
              </w:rPr>
              <w:t>%=</w:t>
            </w:r>
            <w:r>
              <w:rPr>
                <w:rFonts w:hint="eastAsia" w:ascii="仿宋" w:hAnsi="仿宋" w:eastAsia="仿宋"/>
                <w:sz w:val="18"/>
                <w:szCs w:val="18"/>
                <w:highlight w:val="none"/>
                <w:u w:val="single"/>
                <w:lang w:val="en-US" w:eastAsia="zh-CN"/>
              </w:rPr>
              <w:t>2.30</w:t>
            </w:r>
            <w:r>
              <w:rPr>
                <w:rFonts w:hint="eastAsia" w:ascii="仿宋" w:hAnsi="仿宋" w:eastAsia="仿宋"/>
                <w:sz w:val="18"/>
                <w:szCs w:val="18"/>
                <w:highlight w:val="none"/>
                <w:u w:val="single"/>
              </w:rPr>
              <w:t>%</w:t>
            </w:r>
            <w:r>
              <w:rPr>
                <w:rFonts w:hint="eastAsia" w:ascii="仿宋" w:hAnsi="仿宋" w:eastAsia="仿宋"/>
                <w:sz w:val="18"/>
                <w:szCs w:val="18"/>
                <w:highlight w:val="none"/>
              </w:rPr>
              <w:t>，</w:t>
            </w:r>
            <w:r>
              <w:rPr>
                <w:rFonts w:hint="eastAsia" w:ascii="仿宋_GB2312" w:hAnsi="宋体" w:eastAsia="仿宋_GB2312" w:cs="仿宋_GB2312"/>
                <w:b/>
                <w:bCs/>
                <w:color w:val="000000"/>
                <w:kern w:val="0"/>
                <w:sz w:val="18"/>
                <w:szCs w:val="18"/>
                <w:highlight w:val="none"/>
                <w:lang w:val="en-US" w:eastAsia="zh-CN" w:bidi="ar"/>
              </w:rPr>
              <w:t>理财产品业绩比较基准和过往业绩不是预期收益率，不代表产品的未来表现和实际收益，不构成对产品收益的承诺，投资须谨慎</w:t>
            </w:r>
            <w:r>
              <w:rPr>
                <w:rFonts w:hint="eastAsia" w:ascii="仿宋_GB2312" w:hAnsi="宋体" w:eastAsia="仿宋_GB2312" w:cs="仿宋_GB2312"/>
                <w:color w:val="000000"/>
                <w:kern w:val="0"/>
                <w:sz w:val="18"/>
                <w:szCs w:val="18"/>
                <w:highlight w:val="none"/>
                <w:lang w:val="en-US" w:eastAsia="zh-CN" w:bidi="ar"/>
              </w:rPr>
              <w:t>。</w:t>
            </w:r>
            <w:r>
              <w:rPr>
                <w:rFonts w:hint="eastAsia" w:ascii="仿宋" w:hAnsi="仿宋" w:eastAsia="仿宋" w:cs="Times New Roman"/>
                <w:sz w:val="18"/>
                <w:szCs w:val="18"/>
                <w:highlight w:val="none"/>
                <w:lang w:val="en-US" w:eastAsia="zh-CN"/>
              </w:rPr>
              <w:t>理财产品业绩比较基准</w:t>
            </w:r>
            <w:r>
              <w:rPr>
                <w:rFonts w:hint="eastAsia" w:ascii="仿宋" w:hAnsi="仿宋" w:eastAsia="仿宋" w:cs="Times New Roman"/>
                <w:sz w:val="18"/>
                <w:szCs w:val="18"/>
                <w:highlight w:val="none"/>
              </w:rPr>
              <w:t>仅作</w:t>
            </w:r>
            <w:r>
              <w:rPr>
                <w:rFonts w:hint="eastAsia" w:ascii="仿宋" w:hAnsi="仿宋" w:eastAsia="仿宋"/>
                <w:sz w:val="18"/>
                <w:szCs w:val="18"/>
                <w:highlight w:val="none"/>
              </w:rPr>
              <w:t>为计算超额业绩报酬依据，即理财产品在扣除销售费、托管费、固定管理费、运营服务费、交易费及资产交易相关税费后，年化实际投资收益率超过业绩比较基准部分。）</w:t>
            </w:r>
          </w:p>
          <w:p w14:paraId="7A44628A">
            <w:pPr>
              <w:jc w:val="left"/>
              <w:rPr>
                <w:rFonts w:hint="eastAsia" w:ascii="仿宋" w:hAnsi="仿宋" w:eastAsia="仿宋" w:cs="Times New Roman"/>
                <w:sz w:val="18"/>
                <w:szCs w:val="18"/>
                <w:highlight w:val="none"/>
                <w:lang w:val="en-US" w:eastAsia="zh-CN"/>
              </w:rPr>
            </w:pPr>
            <w:r>
              <w:rPr>
                <w:rFonts w:hint="eastAsia" w:ascii="仿宋" w:hAnsi="仿宋" w:eastAsia="仿宋" w:cs="Times New Roman"/>
                <w:sz w:val="18"/>
                <w:szCs w:val="18"/>
                <w:highlight w:val="none"/>
                <w:lang w:val="en-US" w:eastAsia="zh-CN"/>
              </w:rPr>
              <w:t>业绩比较基准由</w:t>
            </w:r>
            <w:r>
              <w:rPr>
                <w:rFonts w:hint="eastAsia" w:ascii="仿宋" w:hAnsi="仿宋" w:eastAsia="仿宋"/>
                <w:sz w:val="18"/>
                <w:szCs w:val="18"/>
                <w:highlight w:val="none"/>
              </w:rPr>
              <w:t>大连农商银行</w:t>
            </w:r>
            <w:r>
              <w:rPr>
                <w:rFonts w:hint="eastAsia" w:ascii="仿宋" w:hAnsi="仿宋" w:eastAsia="仿宋" w:cs="Times New Roman"/>
                <w:sz w:val="18"/>
                <w:szCs w:val="18"/>
                <w:highlight w:val="none"/>
                <w:lang w:val="en-US" w:eastAsia="zh-CN"/>
              </w:rPr>
              <w:t>依据理财产品的投资范围及比例、投资策略，并综合考量市场环境等因素测算。业绩比较基准测算：参考本产品发行时已知的中债-综合财富(3-5年)指数收益率、中债-综合财富(1年以下)指数收益率，考虑资本利得收益并结合产品投资策略进行测算，扣除相关税费等费用后，综合得到本产品业绩比较基准。（产品示例仅供参考，具体投资比例可根据各类资产的收益水平、流动性特征、信用风险等因素动态调整。）业绩比较基准是</w:t>
            </w:r>
            <w:r>
              <w:rPr>
                <w:rFonts w:hint="eastAsia" w:ascii="仿宋" w:hAnsi="仿宋" w:eastAsia="仿宋"/>
                <w:sz w:val="18"/>
                <w:szCs w:val="18"/>
                <w:highlight w:val="none"/>
              </w:rPr>
              <w:t>大连农商银行</w:t>
            </w:r>
            <w:r>
              <w:rPr>
                <w:rFonts w:hint="eastAsia" w:ascii="仿宋" w:hAnsi="仿宋" w:eastAsia="仿宋" w:cs="Times New Roman"/>
                <w:sz w:val="18"/>
                <w:szCs w:val="18"/>
                <w:highlight w:val="none"/>
                <w:lang w:val="en-US" w:eastAsia="zh-CN"/>
              </w:rPr>
              <w:t xml:space="preserve">根据投资范围各类资产的收益水平、投资比例、市场情况进行静态测算和情景分析得出，仅作为产品投资管理的业绩比较基础。投资者的实际收益由产品到期或提前终止时的净值决定。如理财产品投资本金及收益未按时或足额收回，则产品到期收益可能降低，最不利情形损失部分或全部本金。 </w:t>
            </w:r>
          </w:p>
          <w:p w14:paraId="6D427AA2">
            <w:pPr>
              <w:jc w:val="left"/>
              <w:rPr>
                <w:rFonts w:hint="eastAsia" w:ascii="仿宋" w:hAnsi="仿宋" w:eastAsia="仿宋"/>
                <w:sz w:val="18"/>
                <w:szCs w:val="18"/>
                <w:highlight w:val="none"/>
              </w:rPr>
            </w:pPr>
            <w:r>
              <w:rPr>
                <w:rFonts w:hint="eastAsia" w:ascii="仿宋" w:hAnsi="仿宋" w:eastAsia="仿宋" w:cs="Times New Roman"/>
                <w:sz w:val="18"/>
                <w:szCs w:val="18"/>
                <w:highlight w:val="none"/>
                <w:lang w:val="en-US" w:eastAsia="zh-CN"/>
              </w:rPr>
              <w:t>当监管政策、市场环境、产品性质等因素发生变化，导致理财产品的业绩比较基准需要调整时，</w:t>
            </w:r>
            <w:r>
              <w:rPr>
                <w:rFonts w:hint="eastAsia" w:ascii="仿宋" w:hAnsi="仿宋" w:eastAsia="仿宋"/>
                <w:sz w:val="18"/>
                <w:szCs w:val="18"/>
                <w:highlight w:val="none"/>
              </w:rPr>
              <w:t>大连农商银行</w:t>
            </w:r>
            <w:r>
              <w:rPr>
                <w:rFonts w:hint="eastAsia" w:ascii="仿宋" w:hAnsi="仿宋" w:eastAsia="仿宋" w:cs="Times New Roman"/>
                <w:sz w:val="18"/>
                <w:szCs w:val="18"/>
                <w:highlight w:val="none"/>
                <w:lang w:val="en-US" w:eastAsia="zh-CN"/>
              </w:rPr>
              <w:t>将至少于调整日之前3个工作日通过官网或与投资者约定的其他渠道公布调整情况。</w:t>
            </w:r>
          </w:p>
        </w:tc>
      </w:tr>
      <w:tr w14:paraId="09F64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trPr>
        <w:tc>
          <w:tcPr>
            <w:tcW w:w="1701" w:type="dxa"/>
            <w:noWrap w:val="0"/>
            <w:vAlign w:val="center"/>
          </w:tcPr>
          <w:p w14:paraId="1FCCB476">
            <w:pPr>
              <w:jc w:val="center"/>
              <w:rPr>
                <w:rFonts w:ascii="仿宋" w:hAnsi="仿宋" w:eastAsia="仿宋"/>
                <w:b/>
                <w:sz w:val="18"/>
                <w:szCs w:val="18"/>
                <w:highlight w:val="none"/>
              </w:rPr>
            </w:pPr>
            <w:r>
              <w:rPr>
                <w:rFonts w:hint="eastAsia" w:ascii="仿宋" w:hAnsi="仿宋" w:eastAsia="仿宋"/>
                <w:b/>
                <w:sz w:val="18"/>
                <w:szCs w:val="18"/>
                <w:highlight w:val="none"/>
              </w:rPr>
              <w:t>认购金额</w:t>
            </w:r>
          </w:p>
        </w:tc>
        <w:tc>
          <w:tcPr>
            <w:tcW w:w="7513" w:type="dxa"/>
            <w:noWrap w:val="0"/>
            <w:vAlign w:val="center"/>
          </w:tcPr>
          <w:p w14:paraId="00F811A1">
            <w:pPr>
              <w:rPr>
                <w:rFonts w:hint="eastAsia" w:ascii="仿宋" w:hAnsi="仿宋" w:eastAsia="仿宋"/>
                <w:sz w:val="18"/>
                <w:szCs w:val="18"/>
                <w:highlight w:val="none"/>
                <w:lang w:eastAsia="zh-CN"/>
              </w:rPr>
            </w:pPr>
            <w:r>
              <w:rPr>
                <w:rFonts w:hint="eastAsia" w:ascii="仿宋" w:hAnsi="仿宋" w:eastAsia="仿宋"/>
                <w:sz w:val="18"/>
                <w:szCs w:val="18"/>
                <w:highlight w:val="none"/>
              </w:rPr>
              <w:t>最低起点金额为人民币</w:t>
            </w:r>
            <w:r>
              <w:rPr>
                <w:rFonts w:hint="eastAsia" w:ascii="仿宋" w:hAnsi="仿宋" w:eastAsia="仿宋"/>
                <w:sz w:val="18"/>
                <w:szCs w:val="18"/>
                <w:highlight w:val="none"/>
                <w:u w:val="single"/>
              </w:rPr>
              <w:t>1</w:t>
            </w:r>
            <w:r>
              <w:rPr>
                <w:rFonts w:hint="eastAsia" w:ascii="仿宋" w:hAnsi="仿宋" w:eastAsia="仿宋"/>
                <w:sz w:val="18"/>
                <w:szCs w:val="18"/>
                <w:highlight w:val="none"/>
              </w:rPr>
              <w:t>万元，以</w:t>
            </w:r>
            <w:r>
              <w:rPr>
                <w:rFonts w:hint="eastAsia" w:ascii="仿宋" w:hAnsi="仿宋" w:eastAsia="仿宋"/>
                <w:sz w:val="18"/>
                <w:szCs w:val="18"/>
                <w:highlight w:val="none"/>
                <w:u w:val="single"/>
              </w:rPr>
              <w:t>1</w:t>
            </w:r>
            <w:r>
              <w:rPr>
                <w:rFonts w:hint="eastAsia" w:ascii="仿宋" w:hAnsi="仿宋" w:eastAsia="仿宋"/>
                <w:sz w:val="18"/>
                <w:szCs w:val="18"/>
                <w:highlight w:val="none"/>
              </w:rPr>
              <w:t>万元人民币的整数倍递增</w:t>
            </w:r>
            <w:r>
              <w:rPr>
                <w:rFonts w:hint="eastAsia" w:ascii="仿宋" w:hAnsi="仿宋" w:eastAsia="仿宋"/>
                <w:sz w:val="18"/>
                <w:szCs w:val="18"/>
                <w:highlight w:val="none"/>
                <w:lang w:eastAsia="zh-CN"/>
              </w:rPr>
              <w:t>。</w:t>
            </w:r>
          </w:p>
        </w:tc>
      </w:tr>
      <w:tr w14:paraId="03F8B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trPr>
        <w:tc>
          <w:tcPr>
            <w:tcW w:w="1701" w:type="dxa"/>
            <w:noWrap w:val="0"/>
            <w:vAlign w:val="center"/>
          </w:tcPr>
          <w:p w14:paraId="29EBF8EB">
            <w:pPr>
              <w:jc w:val="center"/>
              <w:rPr>
                <w:rFonts w:ascii="仿宋" w:hAnsi="仿宋" w:eastAsia="仿宋"/>
                <w:b/>
                <w:sz w:val="18"/>
                <w:szCs w:val="18"/>
                <w:highlight w:val="none"/>
              </w:rPr>
            </w:pPr>
            <w:r>
              <w:rPr>
                <w:rFonts w:hint="eastAsia" w:ascii="仿宋" w:hAnsi="仿宋" w:eastAsia="仿宋"/>
                <w:b/>
                <w:sz w:val="18"/>
                <w:szCs w:val="18"/>
                <w:highlight w:val="none"/>
              </w:rPr>
              <w:t>募集规模</w:t>
            </w:r>
          </w:p>
        </w:tc>
        <w:tc>
          <w:tcPr>
            <w:tcW w:w="7513" w:type="dxa"/>
            <w:noWrap w:val="0"/>
            <w:vAlign w:val="center"/>
          </w:tcPr>
          <w:p w14:paraId="189B53A2">
            <w:pPr>
              <w:rPr>
                <w:rFonts w:hint="eastAsia" w:ascii="仿宋" w:hAnsi="仿宋" w:eastAsia="仿宋"/>
                <w:sz w:val="18"/>
                <w:szCs w:val="18"/>
                <w:highlight w:val="none"/>
                <w:lang w:eastAsia="zh-CN"/>
              </w:rPr>
            </w:pPr>
            <w:r>
              <w:rPr>
                <w:rFonts w:hint="eastAsia" w:ascii="仿宋" w:hAnsi="仿宋" w:eastAsia="仿宋"/>
                <w:sz w:val="18"/>
                <w:szCs w:val="18"/>
                <w:highlight w:val="none"/>
              </w:rPr>
              <w:t>产品成立最小规模为</w:t>
            </w:r>
            <w:r>
              <w:rPr>
                <w:rFonts w:hint="eastAsia" w:ascii="仿宋" w:hAnsi="仿宋" w:eastAsia="仿宋"/>
                <w:sz w:val="18"/>
                <w:szCs w:val="18"/>
                <w:highlight w:val="none"/>
                <w:u w:val="single"/>
              </w:rPr>
              <w:t>1,000</w:t>
            </w:r>
            <w:r>
              <w:rPr>
                <w:rFonts w:hint="eastAsia" w:ascii="仿宋" w:hAnsi="仿宋" w:eastAsia="仿宋"/>
                <w:sz w:val="18"/>
                <w:szCs w:val="18"/>
                <w:highlight w:val="none"/>
              </w:rPr>
              <w:t>万元，计划募集规模</w:t>
            </w:r>
            <w:r>
              <w:rPr>
                <w:rFonts w:hint="eastAsia" w:ascii="仿宋" w:hAnsi="仿宋" w:eastAsia="仿宋" w:cs="宋体"/>
                <w:sz w:val="18"/>
                <w:szCs w:val="18"/>
                <w:highlight w:val="none"/>
              </w:rPr>
              <w:t>上限</w:t>
            </w:r>
            <w:r>
              <w:rPr>
                <w:rFonts w:hint="eastAsia" w:ascii="仿宋" w:hAnsi="仿宋" w:eastAsia="仿宋" w:cs="宋体"/>
                <w:sz w:val="18"/>
                <w:szCs w:val="18"/>
                <w:highlight w:val="none"/>
                <w:u w:val="single"/>
                <w:lang w:val="en-US" w:eastAsia="zh-CN"/>
              </w:rPr>
              <w:t>25</w:t>
            </w:r>
            <w:r>
              <w:rPr>
                <w:rFonts w:ascii="仿宋" w:hAnsi="仿宋" w:eastAsia="仿宋" w:cs="宋体"/>
                <w:sz w:val="18"/>
                <w:szCs w:val="18"/>
                <w:highlight w:val="none"/>
                <w:u w:val="single"/>
              </w:rPr>
              <w:t>,0</w:t>
            </w:r>
            <w:r>
              <w:rPr>
                <w:rFonts w:hint="eastAsia" w:ascii="仿宋" w:hAnsi="仿宋" w:eastAsia="仿宋" w:cs="宋体"/>
                <w:sz w:val="18"/>
                <w:szCs w:val="18"/>
                <w:highlight w:val="none"/>
                <w:u w:val="single"/>
              </w:rPr>
              <w:t>00</w:t>
            </w:r>
            <w:r>
              <w:rPr>
                <w:rFonts w:hint="eastAsia" w:ascii="仿宋" w:hAnsi="仿宋" w:eastAsia="仿宋"/>
                <w:sz w:val="18"/>
                <w:szCs w:val="18"/>
                <w:highlight w:val="none"/>
              </w:rPr>
              <w:t>万元（大连农商银行有权对募集规模进行调整）</w:t>
            </w:r>
            <w:r>
              <w:rPr>
                <w:rFonts w:hint="eastAsia" w:ascii="仿宋" w:hAnsi="仿宋" w:eastAsia="仿宋"/>
                <w:sz w:val="18"/>
                <w:szCs w:val="18"/>
                <w:highlight w:val="none"/>
                <w:lang w:eastAsia="zh-CN"/>
              </w:rPr>
              <w:t>。</w:t>
            </w:r>
          </w:p>
        </w:tc>
      </w:tr>
      <w:tr w14:paraId="775C4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trPr>
        <w:tc>
          <w:tcPr>
            <w:tcW w:w="1701" w:type="dxa"/>
            <w:noWrap w:val="0"/>
            <w:vAlign w:val="center"/>
          </w:tcPr>
          <w:p w14:paraId="41DC62D6">
            <w:pPr>
              <w:jc w:val="center"/>
              <w:rPr>
                <w:rFonts w:ascii="仿宋" w:hAnsi="仿宋" w:eastAsia="仿宋"/>
                <w:b/>
                <w:sz w:val="18"/>
                <w:szCs w:val="18"/>
                <w:highlight w:val="none"/>
              </w:rPr>
            </w:pPr>
            <w:r>
              <w:rPr>
                <w:rFonts w:hint="eastAsia" w:ascii="仿宋" w:hAnsi="仿宋" w:eastAsia="仿宋"/>
                <w:b/>
                <w:sz w:val="18"/>
                <w:szCs w:val="18"/>
                <w:highlight w:val="none"/>
              </w:rPr>
              <w:t>认购期</w:t>
            </w:r>
          </w:p>
        </w:tc>
        <w:tc>
          <w:tcPr>
            <w:tcW w:w="7513" w:type="dxa"/>
            <w:noWrap w:val="0"/>
            <w:vAlign w:val="center"/>
          </w:tcPr>
          <w:p w14:paraId="41A2E30D">
            <w:pPr>
              <w:keepNext w:val="0"/>
              <w:keepLines w:val="0"/>
              <w:widowControl/>
              <w:suppressLineNumbers w:val="0"/>
              <w:jc w:val="left"/>
              <w:rPr>
                <w:rFonts w:hint="eastAsia" w:ascii="仿宋" w:hAnsi="仿宋" w:eastAsia="仿宋"/>
                <w:sz w:val="18"/>
                <w:szCs w:val="18"/>
                <w:highlight w:val="none"/>
                <w:u w:val="single"/>
                <w:lang w:eastAsia="zh-CN"/>
              </w:rPr>
            </w:pPr>
            <w:r>
              <w:rPr>
                <w:rFonts w:hint="eastAsia" w:ascii="仿宋" w:hAnsi="仿宋" w:eastAsia="仿宋" w:cs="宋体"/>
                <w:sz w:val="18"/>
                <w:szCs w:val="18"/>
                <w:highlight w:val="none"/>
                <w:u w:val="single"/>
              </w:rPr>
              <w:t>2026年</w:t>
            </w:r>
            <w:r>
              <w:rPr>
                <w:rFonts w:hint="eastAsia" w:ascii="仿宋" w:hAnsi="仿宋" w:eastAsia="仿宋" w:cs="宋体"/>
                <w:sz w:val="18"/>
                <w:szCs w:val="18"/>
                <w:highlight w:val="none"/>
                <w:u w:val="single"/>
                <w:lang w:val="en-US" w:eastAsia="zh-CN"/>
              </w:rPr>
              <w:t>09</w:t>
            </w:r>
            <w:r>
              <w:rPr>
                <w:rFonts w:hint="eastAsia" w:ascii="仿宋" w:hAnsi="仿宋" w:eastAsia="仿宋" w:cs="宋体"/>
                <w:sz w:val="18"/>
                <w:szCs w:val="18"/>
                <w:highlight w:val="none"/>
                <w:u w:val="single"/>
              </w:rPr>
              <w:t>月</w:t>
            </w:r>
            <w:r>
              <w:rPr>
                <w:rFonts w:hint="eastAsia" w:ascii="仿宋" w:hAnsi="仿宋" w:eastAsia="仿宋" w:cs="宋体"/>
                <w:sz w:val="18"/>
                <w:szCs w:val="18"/>
                <w:highlight w:val="none"/>
                <w:u w:val="single"/>
                <w:lang w:val="en-US" w:eastAsia="zh-CN"/>
              </w:rPr>
              <w:t>01</w:t>
            </w:r>
            <w:r>
              <w:rPr>
                <w:rFonts w:hint="eastAsia" w:ascii="仿宋" w:hAnsi="仿宋" w:eastAsia="仿宋" w:cs="宋体"/>
                <w:sz w:val="18"/>
                <w:szCs w:val="18"/>
                <w:highlight w:val="none"/>
                <w:u w:val="single"/>
              </w:rPr>
              <w:t>日</w:t>
            </w:r>
            <w:r>
              <w:rPr>
                <w:rFonts w:hint="eastAsia" w:ascii="仿宋" w:hAnsi="仿宋" w:eastAsia="仿宋" w:cs="宋体"/>
                <w:sz w:val="18"/>
                <w:szCs w:val="18"/>
                <w:highlight w:val="none"/>
                <w:u w:val="single"/>
                <w:lang w:val="en-US" w:eastAsia="zh-CN"/>
              </w:rPr>
              <w:t>8:30</w:t>
            </w:r>
            <w:r>
              <w:rPr>
                <w:rFonts w:hint="eastAsia" w:ascii="仿宋" w:hAnsi="仿宋" w:eastAsia="仿宋" w:cs="宋体"/>
                <w:sz w:val="18"/>
                <w:szCs w:val="18"/>
                <w:highlight w:val="none"/>
              </w:rPr>
              <w:t>至</w:t>
            </w:r>
            <w:r>
              <w:rPr>
                <w:rFonts w:hint="eastAsia" w:ascii="仿宋" w:hAnsi="仿宋" w:eastAsia="仿宋" w:cs="宋体"/>
                <w:sz w:val="18"/>
                <w:szCs w:val="18"/>
                <w:highlight w:val="none"/>
                <w:u w:val="single"/>
              </w:rPr>
              <w:t>2026年</w:t>
            </w:r>
            <w:r>
              <w:rPr>
                <w:rFonts w:hint="eastAsia" w:ascii="仿宋" w:hAnsi="仿宋" w:eastAsia="仿宋" w:cs="宋体"/>
                <w:sz w:val="18"/>
                <w:szCs w:val="18"/>
                <w:highlight w:val="none"/>
                <w:u w:val="single"/>
                <w:lang w:val="en-US" w:eastAsia="zh-CN"/>
              </w:rPr>
              <w:t>09月07</w:t>
            </w:r>
            <w:r>
              <w:rPr>
                <w:rFonts w:hint="eastAsia" w:ascii="仿宋" w:hAnsi="仿宋" w:eastAsia="仿宋" w:cs="宋体"/>
                <w:sz w:val="18"/>
                <w:szCs w:val="18"/>
                <w:highlight w:val="none"/>
                <w:u w:val="single"/>
              </w:rPr>
              <w:t>日</w:t>
            </w:r>
            <w:r>
              <w:rPr>
                <w:rFonts w:hint="eastAsia" w:ascii="仿宋" w:hAnsi="仿宋" w:eastAsia="仿宋" w:cs="宋体"/>
                <w:sz w:val="18"/>
                <w:szCs w:val="18"/>
                <w:highlight w:val="none"/>
                <w:u w:val="single"/>
                <w:lang w:val="en-US" w:eastAsia="zh-CN"/>
              </w:rPr>
              <w:t>17:00</w:t>
            </w:r>
            <w:r>
              <w:rPr>
                <w:rFonts w:hint="eastAsia" w:ascii="仿宋" w:hAnsi="仿宋" w:eastAsia="仿宋" w:cs="宋体"/>
                <w:sz w:val="18"/>
                <w:szCs w:val="18"/>
                <w:highlight w:val="none"/>
              </w:rPr>
              <w:t>，</w:t>
            </w:r>
            <w:r>
              <w:rPr>
                <w:rFonts w:hint="eastAsia" w:ascii="仿宋" w:hAnsi="仿宋" w:eastAsia="仿宋" w:cs="宋体"/>
                <w:sz w:val="18"/>
                <w:szCs w:val="18"/>
                <w:highlight w:val="none"/>
                <w:lang w:val="en-US" w:eastAsia="zh-CN"/>
              </w:rPr>
              <w:t>理财产品认购期间，资金按人民币活期存款利率计付利息，相应利息不计入认购份额。</w:t>
            </w:r>
            <w:r>
              <w:rPr>
                <w:rFonts w:hint="eastAsia" w:ascii="仿宋" w:hAnsi="仿宋" w:eastAsia="仿宋" w:cs="宋体"/>
                <w:sz w:val="18"/>
                <w:szCs w:val="18"/>
                <w:highlight w:val="none"/>
              </w:rPr>
              <w:t>认购规则详见“</w:t>
            </w:r>
            <w:r>
              <w:rPr>
                <w:rFonts w:hint="eastAsia" w:ascii="仿宋" w:hAnsi="仿宋" w:eastAsia="仿宋" w:cs="宋体"/>
                <w:b/>
                <w:sz w:val="18"/>
                <w:szCs w:val="18"/>
                <w:highlight w:val="none"/>
              </w:rPr>
              <w:t>理财产品认购</w:t>
            </w:r>
            <w:r>
              <w:rPr>
                <w:rFonts w:hint="eastAsia" w:ascii="仿宋" w:hAnsi="仿宋" w:eastAsia="仿宋" w:cs="宋体"/>
                <w:sz w:val="18"/>
                <w:szCs w:val="18"/>
                <w:highlight w:val="none"/>
              </w:rPr>
              <w:t>”</w:t>
            </w:r>
            <w:r>
              <w:rPr>
                <w:rFonts w:hint="eastAsia" w:ascii="仿宋" w:hAnsi="仿宋" w:eastAsia="仿宋" w:cs="宋体"/>
                <w:sz w:val="18"/>
                <w:szCs w:val="18"/>
                <w:highlight w:val="none"/>
                <w:lang w:eastAsia="zh-CN"/>
              </w:rPr>
              <w:t>。</w:t>
            </w:r>
          </w:p>
        </w:tc>
      </w:tr>
      <w:tr w14:paraId="41A5A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1701" w:type="dxa"/>
            <w:noWrap w:val="0"/>
            <w:vAlign w:val="center"/>
          </w:tcPr>
          <w:p w14:paraId="21394F15">
            <w:pPr>
              <w:jc w:val="center"/>
              <w:rPr>
                <w:rFonts w:ascii="仿宋" w:hAnsi="仿宋" w:eastAsia="仿宋"/>
                <w:b/>
                <w:sz w:val="18"/>
                <w:szCs w:val="18"/>
                <w:highlight w:val="none"/>
              </w:rPr>
            </w:pPr>
            <w:r>
              <w:rPr>
                <w:rFonts w:hint="eastAsia" w:ascii="仿宋" w:hAnsi="仿宋" w:eastAsia="仿宋"/>
                <w:b/>
                <w:sz w:val="18"/>
                <w:szCs w:val="18"/>
                <w:highlight w:val="none"/>
              </w:rPr>
              <w:t>产品成立日</w:t>
            </w:r>
          </w:p>
        </w:tc>
        <w:tc>
          <w:tcPr>
            <w:tcW w:w="7513" w:type="dxa"/>
            <w:noWrap w:val="0"/>
            <w:vAlign w:val="top"/>
          </w:tcPr>
          <w:p w14:paraId="2E1C6D21">
            <w:pPr>
              <w:keepNext w:val="0"/>
              <w:keepLines w:val="0"/>
              <w:widowControl/>
              <w:suppressLineNumbers w:val="0"/>
              <w:jc w:val="left"/>
              <w:rPr>
                <w:rFonts w:ascii="仿宋" w:hAnsi="仿宋" w:eastAsia="仿宋"/>
                <w:sz w:val="18"/>
                <w:szCs w:val="18"/>
                <w:highlight w:val="none"/>
                <w:u w:val="single"/>
              </w:rPr>
            </w:pPr>
            <w:r>
              <w:rPr>
                <w:rFonts w:hint="eastAsia" w:ascii="仿宋" w:hAnsi="仿宋" w:eastAsia="仿宋" w:cs="宋体"/>
                <w:sz w:val="18"/>
                <w:szCs w:val="18"/>
                <w:highlight w:val="none"/>
                <w:u w:val="single"/>
              </w:rPr>
              <w:t>2026年</w:t>
            </w:r>
            <w:r>
              <w:rPr>
                <w:rFonts w:hint="eastAsia" w:ascii="仿宋" w:hAnsi="仿宋" w:eastAsia="仿宋" w:cs="宋体"/>
                <w:sz w:val="18"/>
                <w:szCs w:val="18"/>
                <w:highlight w:val="none"/>
                <w:u w:val="single"/>
                <w:lang w:val="en-US" w:eastAsia="zh-CN"/>
              </w:rPr>
              <w:t>09</w:t>
            </w:r>
            <w:r>
              <w:rPr>
                <w:rFonts w:hint="eastAsia" w:ascii="仿宋" w:hAnsi="仿宋" w:eastAsia="仿宋" w:cs="宋体"/>
                <w:sz w:val="18"/>
                <w:szCs w:val="18"/>
                <w:highlight w:val="none"/>
                <w:u w:val="single"/>
              </w:rPr>
              <w:t>月</w:t>
            </w:r>
            <w:r>
              <w:rPr>
                <w:rFonts w:hint="eastAsia" w:ascii="仿宋" w:hAnsi="仿宋" w:eastAsia="仿宋" w:cs="宋体"/>
                <w:sz w:val="18"/>
                <w:szCs w:val="18"/>
                <w:highlight w:val="none"/>
                <w:u w:val="single"/>
                <w:lang w:val="en-US" w:eastAsia="zh-CN"/>
              </w:rPr>
              <w:t>08</w:t>
            </w:r>
            <w:r>
              <w:rPr>
                <w:rFonts w:hint="eastAsia" w:ascii="仿宋" w:hAnsi="仿宋" w:eastAsia="仿宋" w:cs="宋体"/>
                <w:sz w:val="18"/>
                <w:szCs w:val="18"/>
                <w:highlight w:val="none"/>
                <w:u w:val="single"/>
              </w:rPr>
              <w:t>日</w:t>
            </w:r>
            <w:r>
              <w:rPr>
                <w:rFonts w:hint="eastAsia" w:ascii="仿宋" w:hAnsi="仿宋" w:eastAsia="仿宋" w:cs="宋体"/>
                <w:sz w:val="18"/>
                <w:szCs w:val="18"/>
                <w:highlight w:val="none"/>
              </w:rPr>
              <w:t>。</w:t>
            </w:r>
            <w:r>
              <w:rPr>
                <w:rFonts w:hint="eastAsia" w:ascii="仿宋" w:hAnsi="仿宋" w:eastAsia="仿宋"/>
                <w:sz w:val="18"/>
                <w:szCs w:val="18"/>
                <w:highlight w:val="none"/>
              </w:rPr>
              <w:t>在正常情况下，产品成立日为认购期结束后的第一个工作日，如遇节假日顺延。但以下两种情形除外</w:t>
            </w:r>
            <w:r>
              <w:rPr>
                <w:rFonts w:hint="eastAsia" w:ascii="仿宋" w:hAnsi="仿宋" w:eastAsia="仿宋"/>
                <w:sz w:val="18"/>
                <w:szCs w:val="18"/>
                <w:highlight w:val="none"/>
                <w:lang w:eastAsia="zh-CN"/>
              </w:rPr>
              <w:t>：</w:t>
            </w:r>
            <w:r>
              <w:rPr>
                <w:rFonts w:hint="eastAsia" w:ascii="仿宋" w:hAnsi="仿宋" w:eastAsia="仿宋"/>
                <w:sz w:val="18"/>
                <w:szCs w:val="18"/>
                <w:highlight w:val="none"/>
              </w:rPr>
              <w:t>（1）若在认购期届满之前募集资金已经达到产品募集规模上限，大连农商银行有权提前结束募集并提前成立该理财产品，同时将成立日期调整为实际认购期截止次日（如遇节假日，成立时间顺延至认购期截止日后第一个</w:t>
            </w:r>
            <w:r>
              <w:rPr>
                <w:rFonts w:hint="eastAsia" w:ascii="仿宋" w:hAnsi="仿宋" w:eastAsia="仿宋" w:cs="Times New Roman"/>
                <w:sz w:val="18"/>
                <w:szCs w:val="18"/>
                <w:highlight w:val="none"/>
              </w:rPr>
              <w:t>工作日）；（2）若在认购期届满之日未达到产品募集下限，</w:t>
            </w:r>
            <w:r>
              <w:rPr>
                <w:rFonts w:hint="eastAsia" w:ascii="仿宋" w:hAnsi="仿宋" w:eastAsia="仿宋" w:cs="Times New Roman"/>
                <w:sz w:val="18"/>
                <w:szCs w:val="18"/>
                <w:highlight w:val="none"/>
                <w:lang w:val="en-US" w:eastAsia="zh-CN"/>
              </w:rPr>
              <w:t>按照本说明书约定的信息披露规则发布产品不成立信息，投资者本金和利息（如有）将在原定成立日后3个工作日内划转至投资者账户，原定成立日至资金到账日之间投资者资金不计利息。</w:t>
            </w:r>
          </w:p>
        </w:tc>
      </w:tr>
      <w:tr w14:paraId="04D86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 w:hRule="atLeast"/>
        </w:trPr>
        <w:tc>
          <w:tcPr>
            <w:tcW w:w="1701" w:type="dxa"/>
            <w:noWrap w:val="0"/>
            <w:vAlign w:val="center"/>
          </w:tcPr>
          <w:p w14:paraId="4E4A4C37">
            <w:pPr>
              <w:jc w:val="center"/>
              <w:rPr>
                <w:rFonts w:ascii="仿宋" w:hAnsi="仿宋" w:eastAsia="仿宋"/>
                <w:b/>
                <w:sz w:val="18"/>
                <w:szCs w:val="18"/>
                <w:highlight w:val="none"/>
              </w:rPr>
            </w:pPr>
            <w:r>
              <w:rPr>
                <w:rFonts w:hint="eastAsia" w:ascii="仿宋" w:hAnsi="仿宋" w:eastAsia="仿宋"/>
                <w:b/>
                <w:sz w:val="18"/>
                <w:szCs w:val="18"/>
                <w:highlight w:val="none"/>
              </w:rPr>
              <w:t>产品到期日</w:t>
            </w:r>
          </w:p>
        </w:tc>
        <w:tc>
          <w:tcPr>
            <w:tcW w:w="7513" w:type="dxa"/>
            <w:noWrap w:val="0"/>
            <w:vAlign w:val="top"/>
          </w:tcPr>
          <w:p w14:paraId="298402BC">
            <w:pPr>
              <w:keepNext w:val="0"/>
              <w:keepLines w:val="0"/>
              <w:widowControl/>
              <w:suppressLineNumbers w:val="0"/>
              <w:jc w:val="left"/>
              <w:rPr>
                <w:rFonts w:hint="eastAsia" w:ascii="仿宋" w:hAnsi="仿宋" w:eastAsia="仿宋"/>
                <w:sz w:val="18"/>
                <w:szCs w:val="18"/>
                <w:highlight w:val="none"/>
                <w:lang w:eastAsia="zh-CN"/>
              </w:rPr>
            </w:pPr>
            <w:r>
              <w:rPr>
                <w:rFonts w:hint="eastAsia" w:ascii="仿宋" w:hAnsi="仿宋" w:eastAsia="仿宋"/>
                <w:sz w:val="18"/>
                <w:szCs w:val="18"/>
                <w:highlight w:val="none"/>
                <w:u w:val="single"/>
              </w:rPr>
              <w:t>20</w:t>
            </w:r>
            <w:r>
              <w:rPr>
                <w:rFonts w:ascii="仿宋" w:hAnsi="仿宋" w:eastAsia="仿宋"/>
                <w:sz w:val="18"/>
                <w:szCs w:val="18"/>
                <w:highlight w:val="none"/>
                <w:u w:val="single"/>
              </w:rPr>
              <w:t>2</w:t>
            </w:r>
            <w:r>
              <w:rPr>
                <w:rFonts w:hint="eastAsia" w:ascii="仿宋" w:hAnsi="仿宋" w:eastAsia="仿宋"/>
                <w:sz w:val="18"/>
                <w:szCs w:val="18"/>
                <w:highlight w:val="none"/>
                <w:u w:val="single"/>
                <w:lang w:val="en-US" w:eastAsia="zh-CN"/>
              </w:rPr>
              <w:t>7</w:t>
            </w:r>
            <w:r>
              <w:rPr>
                <w:rFonts w:ascii="仿宋" w:hAnsi="仿宋" w:eastAsia="仿宋"/>
                <w:sz w:val="18"/>
                <w:szCs w:val="18"/>
                <w:highlight w:val="none"/>
                <w:u w:val="single"/>
              </w:rPr>
              <w:t>年</w:t>
            </w:r>
            <w:r>
              <w:rPr>
                <w:rFonts w:hint="eastAsia" w:ascii="仿宋" w:hAnsi="仿宋" w:eastAsia="仿宋"/>
                <w:sz w:val="18"/>
                <w:szCs w:val="18"/>
                <w:highlight w:val="none"/>
                <w:u w:val="single"/>
                <w:lang w:val="en-US" w:eastAsia="zh-CN"/>
              </w:rPr>
              <w:t>04</w:t>
            </w:r>
            <w:r>
              <w:rPr>
                <w:rFonts w:ascii="仿宋" w:hAnsi="仿宋" w:eastAsia="仿宋"/>
                <w:sz w:val="18"/>
                <w:szCs w:val="18"/>
                <w:highlight w:val="none"/>
                <w:u w:val="single"/>
              </w:rPr>
              <w:t>月</w:t>
            </w:r>
            <w:r>
              <w:rPr>
                <w:rFonts w:hint="eastAsia" w:ascii="仿宋" w:hAnsi="仿宋" w:eastAsia="仿宋"/>
                <w:sz w:val="18"/>
                <w:szCs w:val="18"/>
                <w:highlight w:val="none"/>
                <w:u w:val="single"/>
                <w:lang w:val="en-US" w:eastAsia="zh-CN"/>
              </w:rPr>
              <w:t>21</w:t>
            </w:r>
            <w:r>
              <w:rPr>
                <w:rFonts w:ascii="仿宋" w:hAnsi="仿宋" w:eastAsia="仿宋"/>
                <w:sz w:val="18"/>
                <w:szCs w:val="18"/>
                <w:highlight w:val="none"/>
                <w:u w:val="single"/>
              </w:rPr>
              <w:t>日</w:t>
            </w:r>
            <w:r>
              <w:rPr>
                <w:rFonts w:hint="eastAsia" w:ascii="仿宋" w:hAnsi="仿宋" w:eastAsia="仿宋" w:cs="宋体"/>
                <w:sz w:val="18"/>
                <w:szCs w:val="18"/>
                <w:highlight w:val="none"/>
              </w:rPr>
              <w:t>。</w:t>
            </w:r>
            <w:r>
              <w:rPr>
                <w:rFonts w:hint="eastAsia" w:ascii="仿宋" w:hAnsi="仿宋" w:eastAsia="仿宋"/>
                <w:sz w:val="18"/>
                <w:szCs w:val="18"/>
                <w:highlight w:val="none"/>
              </w:rPr>
              <w:t>实际产品期限受制于银行提前终止和延期终止条款，到期日客户需全额赎</w:t>
            </w:r>
            <w:r>
              <w:rPr>
                <w:rFonts w:hint="eastAsia" w:ascii="仿宋" w:hAnsi="仿宋" w:eastAsia="仿宋" w:cs="Times New Roman"/>
                <w:sz w:val="18"/>
                <w:szCs w:val="18"/>
                <w:highlight w:val="none"/>
              </w:rPr>
              <w:t>回</w:t>
            </w:r>
            <w:r>
              <w:rPr>
                <w:rFonts w:hint="eastAsia" w:ascii="仿宋" w:hAnsi="仿宋" w:eastAsia="仿宋" w:cs="Times New Roman"/>
                <w:sz w:val="18"/>
                <w:szCs w:val="18"/>
                <w:highlight w:val="none"/>
                <w:lang w:eastAsia="zh-CN"/>
              </w:rPr>
              <w:t>，</w:t>
            </w:r>
            <w:r>
              <w:rPr>
                <w:rFonts w:hint="eastAsia" w:ascii="仿宋" w:hAnsi="仿宋" w:eastAsia="仿宋" w:cs="Times New Roman"/>
                <w:sz w:val="18"/>
                <w:szCs w:val="18"/>
                <w:highlight w:val="none"/>
                <w:lang w:val="en-US" w:eastAsia="zh-CN"/>
              </w:rPr>
              <w:t>理财产品到期日或提前终止日当日不计息。</w:t>
            </w:r>
          </w:p>
        </w:tc>
      </w:tr>
      <w:tr w14:paraId="7FF0A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01" w:type="dxa"/>
            <w:noWrap w:val="0"/>
            <w:vAlign w:val="center"/>
          </w:tcPr>
          <w:p w14:paraId="30C85585">
            <w:pPr>
              <w:jc w:val="center"/>
              <w:rPr>
                <w:rFonts w:ascii="仿宋" w:hAnsi="仿宋" w:eastAsia="仿宋"/>
                <w:b/>
                <w:sz w:val="18"/>
                <w:szCs w:val="18"/>
                <w:highlight w:val="none"/>
              </w:rPr>
            </w:pPr>
            <w:r>
              <w:rPr>
                <w:rFonts w:hint="eastAsia" w:ascii="仿宋" w:hAnsi="仿宋" w:eastAsia="仿宋"/>
                <w:b/>
                <w:sz w:val="18"/>
                <w:szCs w:val="18"/>
                <w:highlight w:val="none"/>
              </w:rPr>
              <w:t>兑付日</w:t>
            </w:r>
          </w:p>
        </w:tc>
        <w:tc>
          <w:tcPr>
            <w:tcW w:w="7513" w:type="dxa"/>
            <w:noWrap w:val="0"/>
            <w:vAlign w:val="top"/>
          </w:tcPr>
          <w:p w14:paraId="7A84061C">
            <w:pPr>
              <w:keepNext w:val="0"/>
              <w:keepLines w:val="0"/>
              <w:widowControl/>
              <w:suppressLineNumbers w:val="0"/>
              <w:jc w:val="left"/>
              <w:rPr>
                <w:rFonts w:hint="eastAsia" w:ascii="仿宋" w:hAnsi="仿宋" w:eastAsia="仿宋"/>
                <w:sz w:val="18"/>
                <w:szCs w:val="18"/>
                <w:highlight w:val="none"/>
                <w:lang w:eastAsia="zh-CN"/>
              </w:rPr>
            </w:pPr>
            <w:r>
              <w:rPr>
                <w:rFonts w:hint="eastAsia" w:ascii="仿宋" w:hAnsi="仿宋" w:eastAsia="仿宋"/>
                <w:sz w:val="18"/>
                <w:szCs w:val="18"/>
                <w:highlight w:val="none"/>
              </w:rPr>
              <w:t>大连农商银行于产品到期后的3个工作日内（法定节假日顺延），将赎回理财本金及收益一次性划入投资者指定账户</w:t>
            </w:r>
            <w:r>
              <w:rPr>
                <w:rFonts w:hint="eastAsia" w:ascii="仿宋" w:hAnsi="仿宋" w:eastAsia="仿宋" w:cs="Times New Roman"/>
                <w:sz w:val="18"/>
                <w:szCs w:val="18"/>
                <w:highlight w:val="none"/>
                <w:lang w:eastAsia="zh-CN"/>
              </w:rPr>
              <w:t>，</w:t>
            </w:r>
            <w:r>
              <w:rPr>
                <w:rFonts w:hint="eastAsia" w:ascii="仿宋" w:hAnsi="仿宋" w:eastAsia="仿宋" w:cs="Times New Roman"/>
                <w:sz w:val="18"/>
                <w:szCs w:val="18"/>
                <w:highlight w:val="none"/>
                <w:lang w:val="en-US" w:eastAsia="zh-CN"/>
              </w:rPr>
              <w:t>产品到期日至资金到账日之间投资者资金不计利息。</w:t>
            </w:r>
          </w:p>
        </w:tc>
      </w:tr>
      <w:tr w14:paraId="3989D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701" w:type="dxa"/>
            <w:noWrap w:val="0"/>
            <w:vAlign w:val="center"/>
          </w:tcPr>
          <w:p w14:paraId="263FD9B0">
            <w:pPr>
              <w:jc w:val="center"/>
              <w:rPr>
                <w:rFonts w:ascii="仿宋" w:hAnsi="仿宋" w:eastAsia="仿宋"/>
                <w:b/>
                <w:sz w:val="18"/>
                <w:szCs w:val="18"/>
                <w:highlight w:val="none"/>
              </w:rPr>
            </w:pPr>
            <w:r>
              <w:rPr>
                <w:rFonts w:hint="eastAsia" w:ascii="仿宋" w:hAnsi="仿宋" w:eastAsia="仿宋"/>
                <w:b/>
                <w:sz w:val="18"/>
                <w:szCs w:val="18"/>
                <w:highlight w:val="none"/>
              </w:rPr>
              <w:t>理财产品份额净值</w:t>
            </w:r>
          </w:p>
        </w:tc>
        <w:tc>
          <w:tcPr>
            <w:tcW w:w="7513" w:type="dxa"/>
            <w:noWrap w:val="0"/>
            <w:vAlign w:val="center"/>
          </w:tcPr>
          <w:p w14:paraId="4630EB43">
            <w:pPr>
              <w:rPr>
                <w:rFonts w:hint="eastAsia" w:ascii="仿宋" w:hAnsi="仿宋" w:eastAsia="仿宋"/>
                <w:sz w:val="18"/>
                <w:szCs w:val="18"/>
                <w:highlight w:val="none"/>
                <w:lang w:eastAsia="zh-CN"/>
              </w:rPr>
            </w:pPr>
            <w:r>
              <w:rPr>
                <w:rFonts w:hint="eastAsia" w:ascii="仿宋" w:hAnsi="仿宋" w:eastAsia="仿宋"/>
                <w:color w:val="000000"/>
                <w:sz w:val="18"/>
                <w:szCs w:val="18"/>
                <w:highlight w:val="none"/>
              </w:rPr>
              <w:t>认购期理财产品单位份额净值为1，产品成立后理财产品单位份额净值随投资收益变化。本理财产品存续期内，大连农商银行于产品成立后的第一个工作日计算理财产品份额净值，并每周通过大连农商</w:t>
            </w:r>
            <w:r>
              <w:rPr>
                <w:rFonts w:hint="eastAsia" w:ascii="仿宋" w:hAnsi="仿宋" w:eastAsia="仿宋"/>
                <w:sz w:val="18"/>
                <w:szCs w:val="18"/>
                <w:highlight w:val="none"/>
              </w:rPr>
              <w:t>银</w:t>
            </w:r>
            <w:r>
              <w:rPr>
                <w:rFonts w:hint="eastAsia" w:ascii="仿宋" w:hAnsi="仿宋" w:eastAsia="仿宋"/>
                <w:color w:val="000000"/>
                <w:sz w:val="18"/>
                <w:szCs w:val="18"/>
                <w:highlight w:val="none"/>
              </w:rPr>
              <w:t>行网站公布产品净值。详细内容见“</w:t>
            </w:r>
            <w:r>
              <w:rPr>
                <w:rFonts w:hint="eastAsia" w:ascii="仿宋" w:hAnsi="仿宋" w:eastAsia="仿宋" w:cs="宋体"/>
                <w:b/>
                <w:sz w:val="18"/>
                <w:szCs w:val="18"/>
                <w:highlight w:val="none"/>
              </w:rPr>
              <w:t>理财</w:t>
            </w:r>
            <w:r>
              <w:rPr>
                <w:rFonts w:hint="eastAsia" w:ascii="仿宋" w:hAnsi="仿宋" w:eastAsia="仿宋"/>
                <w:b/>
                <w:color w:val="000000"/>
                <w:sz w:val="18"/>
                <w:szCs w:val="18"/>
                <w:highlight w:val="none"/>
              </w:rPr>
              <w:t>产品认购</w:t>
            </w:r>
            <w:r>
              <w:rPr>
                <w:rFonts w:hint="eastAsia" w:ascii="仿宋" w:hAnsi="仿宋" w:eastAsia="仿宋"/>
                <w:color w:val="000000"/>
                <w:sz w:val="18"/>
                <w:szCs w:val="18"/>
                <w:highlight w:val="none"/>
              </w:rPr>
              <w:t>”与“</w:t>
            </w:r>
            <w:r>
              <w:rPr>
                <w:rFonts w:hint="eastAsia" w:ascii="仿宋" w:hAnsi="仿宋" w:eastAsia="仿宋"/>
                <w:b/>
                <w:color w:val="000000"/>
                <w:sz w:val="18"/>
                <w:szCs w:val="18"/>
                <w:highlight w:val="none"/>
              </w:rPr>
              <w:t>理财产品估值</w:t>
            </w:r>
            <w:r>
              <w:rPr>
                <w:rFonts w:hint="eastAsia" w:ascii="仿宋" w:hAnsi="仿宋" w:eastAsia="仿宋"/>
                <w:color w:val="000000"/>
                <w:sz w:val="18"/>
                <w:szCs w:val="18"/>
                <w:highlight w:val="none"/>
              </w:rPr>
              <w:t>”</w:t>
            </w:r>
            <w:r>
              <w:rPr>
                <w:rFonts w:hint="eastAsia" w:ascii="仿宋" w:hAnsi="仿宋" w:eastAsia="仿宋"/>
                <w:color w:val="000000"/>
                <w:sz w:val="18"/>
                <w:szCs w:val="18"/>
                <w:highlight w:val="none"/>
                <w:lang w:eastAsia="zh-CN"/>
              </w:rPr>
              <w:t>。</w:t>
            </w:r>
          </w:p>
        </w:tc>
      </w:tr>
      <w:tr w14:paraId="2F6A1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701" w:type="dxa"/>
            <w:noWrap w:val="0"/>
            <w:vAlign w:val="center"/>
          </w:tcPr>
          <w:p w14:paraId="2F013FC0">
            <w:pPr>
              <w:jc w:val="center"/>
              <w:rPr>
                <w:rFonts w:ascii="仿宋" w:hAnsi="仿宋" w:eastAsia="仿宋"/>
                <w:b/>
                <w:sz w:val="18"/>
                <w:szCs w:val="18"/>
                <w:highlight w:val="none"/>
              </w:rPr>
            </w:pPr>
            <w:r>
              <w:rPr>
                <w:rFonts w:hint="eastAsia" w:ascii="仿宋" w:hAnsi="仿宋" w:eastAsia="仿宋"/>
                <w:b/>
                <w:sz w:val="18"/>
                <w:szCs w:val="18"/>
                <w:highlight w:val="none"/>
              </w:rPr>
              <w:t>产品发售渠道</w:t>
            </w:r>
          </w:p>
        </w:tc>
        <w:tc>
          <w:tcPr>
            <w:tcW w:w="7513" w:type="dxa"/>
            <w:noWrap w:val="0"/>
            <w:vAlign w:val="center"/>
          </w:tcPr>
          <w:p w14:paraId="6380C682">
            <w:pPr>
              <w:rPr>
                <w:rFonts w:ascii="仿宋" w:hAnsi="仿宋" w:eastAsia="仿宋"/>
                <w:sz w:val="18"/>
                <w:szCs w:val="18"/>
                <w:highlight w:val="none"/>
              </w:rPr>
            </w:pPr>
            <w:r>
              <w:rPr>
                <w:rFonts w:hint="eastAsia" w:ascii="仿宋" w:hAnsi="仿宋" w:eastAsia="仿宋"/>
                <w:sz w:val="18"/>
                <w:szCs w:val="18"/>
                <w:highlight w:val="none"/>
              </w:rPr>
              <w:t>大连农商银行总行营业部、营口分行、一级支行营业部、二级支行营业网点及线上渠道发售</w:t>
            </w:r>
          </w:p>
        </w:tc>
      </w:tr>
      <w:tr w14:paraId="5C2C8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701" w:type="dxa"/>
            <w:noWrap w:val="0"/>
            <w:vAlign w:val="center"/>
          </w:tcPr>
          <w:p w14:paraId="175AC2B0">
            <w:pPr>
              <w:jc w:val="center"/>
              <w:rPr>
                <w:rFonts w:ascii="仿宋" w:hAnsi="仿宋" w:eastAsia="仿宋"/>
                <w:b/>
                <w:sz w:val="18"/>
                <w:szCs w:val="18"/>
                <w:highlight w:val="none"/>
              </w:rPr>
            </w:pPr>
            <w:r>
              <w:rPr>
                <w:rFonts w:hint="eastAsia" w:ascii="仿宋" w:hAnsi="仿宋" w:eastAsia="仿宋"/>
                <w:b/>
                <w:sz w:val="18"/>
                <w:szCs w:val="18"/>
                <w:highlight w:val="none"/>
              </w:rPr>
              <w:t>产品费用</w:t>
            </w:r>
          </w:p>
        </w:tc>
        <w:tc>
          <w:tcPr>
            <w:tcW w:w="7513" w:type="dxa"/>
            <w:noWrap w:val="0"/>
            <w:vAlign w:val="center"/>
          </w:tcPr>
          <w:p w14:paraId="3B30FB9F">
            <w:pPr>
              <w:rPr>
                <w:rFonts w:hint="eastAsia" w:ascii="仿宋" w:hAnsi="仿宋" w:eastAsia="仿宋"/>
                <w:sz w:val="18"/>
                <w:szCs w:val="18"/>
                <w:highlight w:val="none"/>
                <w:lang w:eastAsia="zh-CN"/>
              </w:rPr>
            </w:pPr>
            <w:r>
              <w:rPr>
                <w:rFonts w:hint="eastAsia" w:ascii="仿宋" w:hAnsi="仿宋" w:eastAsia="仿宋"/>
                <w:sz w:val="18"/>
                <w:szCs w:val="18"/>
                <w:highlight w:val="none"/>
              </w:rPr>
              <w:t>认购费：本产品不收取认购费</w:t>
            </w:r>
            <w:r>
              <w:rPr>
                <w:rFonts w:hint="eastAsia" w:ascii="仿宋" w:hAnsi="仿宋" w:eastAsia="仿宋"/>
                <w:sz w:val="18"/>
                <w:szCs w:val="18"/>
                <w:highlight w:val="none"/>
                <w:lang w:eastAsia="zh-CN"/>
              </w:rPr>
              <w:t>。</w:t>
            </w:r>
          </w:p>
          <w:p w14:paraId="72019226">
            <w:pPr>
              <w:rPr>
                <w:rFonts w:hint="eastAsia" w:ascii="仿宋" w:hAnsi="仿宋" w:eastAsia="仿宋"/>
                <w:sz w:val="18"/>
                <w:szCs w:val="18"/>
                <w:highlight w:val="none"/>
                <w:lang w:eastAsia="zh-CN"/>
              </w:rPr>
            </w:pPr>
            <w:r>
              <w:rPr>
                <w:rFonts w:hint="eastAsia" w:ascii="仿宋" w:hAnsi="仿宋" w:eastAsia="仿宋"/>
                <w:sz w:val="18"/>
                <w:szCs w:val="18"/>
                <w:highlight w:val="none"/>
              </w:rPr>
              <w:t>赎回费：本产品不收取赎回费</w:t>
            </w:r>
            <w:r>
              <w:rPr>
                <w:rFonts w:hint="eastAsia" w:ascii="仿宋" w:hAnsi="仿宋" w:eastAsia="仿宋"/>
                <w:sz w:val="18"/>
                <w:szCs w:val="18"/>
                <w:highlight w:val="none"/>
                <w:lang w:eastAsia="zh-CN"/>
              </w:rPr>
              <w:t>。</w:t>
            </w:r>
          </w:p>
          <w:p w14:paraId="4F2433C9">
            <w:pPr>
              <w:rPr>
                <w:rFonts w:hint="eastAsia" w:ascii="仿宋" w:hAnsi="仿宋" w:eastAsia="仿宋"/>
                <w:sz w:val="18"/>
                <w:szCs w:val="18"/>
                <w:highlight w:val="none"/>
                <w:lang w:eastAsia="zh-CN"/>
              </w:rPr>
            </w:pPr>
            <w:r>
              <w:rPr>
                <w:rFonts w:hint="eastAsia" w:ascii="仿宋" w:hAnsi="仿宋" w:eastAsia="仿宋"/>
                <w:sz w:val="18"/>
                <w:szCs w:val="18"/>
                <w:highlight w:val="none"/>
              </w:rPr>
              <w:t>销售费：本产品按当日存续本金</w:t>
            </w:r>
            <w:r>
              <w:rPr>
                <w:rFonts w:hint="eastAsia" w:ascii="仿宋" w:hAnsi="仿宋" w:eastAsia="仿宋"/>
                <w:sz w:val="18"/>
                <w:szCs w:val="18"/>
                <w:highlight w:val="none"/>
                <w:u w:val="single"/>
              </w:rPr>
              <w:t>0.25</w:t>
            </w:r>
            <w:r>
              <w:rPr>
                <w:rFonts w:ascii="仿宋" w:hAnsi="仿宋" w:eastAsia="仿宋"/>
                <w:color w:val="000000"/>
                <w:spacing w:val="10"/>
                <w:sz w:val="18"/>
                <w:szCs w:val="18"/>
                <w:highlight w:val="none"/>
                <w:u w:val="single"/>
              </w:rPr>
              <w:t>％</w:t>
            </w:r>
            <w:r>
              <w:rPr>
                <w:rFonts w:hint="eastAsia" w:ascii="仿宋" w:hAnsi="仿宋" w:eastAsia="仿宋"/>
                <w:color w:val="000000"/>
                <w:spacing w:val="10"/>
                <w:sz w:val="18"/>
                <w:szCs w:val="18"/>
                <w:highlight w:val="none"/>
              </w:rPr>
              <w:t>（年化）每日计提销售手续费，产品到期一次性支付</w:t>
            </w:r>
            <w:r>
              <w:rPr>
                <w:rFonts w:hint="eastAsia" w:ascii="仿宋" w:hAnsi="仿宋" w:eastAsia="仿宋"/>
                <w:color w:val="000000"/>
                <w:spacing w:val="10"/>
                <w:sz w:val="18"/>
                <w:szCs w:val="18"/>
                <w:highlight w:val="none"/>
                <w:lang w:eastAsia="zh-CN"/>
              </w:rPr>
              <w:t>。</w:t>
            </w:r>
          </w:p>
          <w:p w14:paraId="149BE41E">
            <w:pPr>
              <w:rPr>
                <w:rFonts w:hint="eastAsia" w:ascii="仿宋" w:hAnsi="仿宋" w:eastAsia="仿宋"/>
                <w:sz w:val="18"/>
                <w:szCs w:val="18"/>
                <w:highlight w:val="none"/>
                <w:lang w:eastAsia="zh-CN"/>
              </w:rPr>
            </w:pPr>
            <w:r>
              <w:rPr>
                <w:rFonts w:hint="eastAsia" w:ascii="仿宋" w:hAnsi="仿宋" w:eastAsia="仿宋"/>
                <w:sz w:val="18"/>
                <w:szCs w:val="18"/>
                <w:highlight w:val="none"/>
              </w:rPr>
              <w:t>托管费：本产品按当日存续本金</w:t>
            </w:r>
            <w:r>
              <w:rPr>
                <w:rFonts w:hint="eastAsia" w:ascii="仿宋" w:hAnsi="仿宋" w:eastAsia="仿宋"/>
                <w:sz w:val="18"/>
                <w:szCs w:val="18"/>
                <w:highlight w:val="none"/>
                <w:u w:val="single"/>
              </w:rPr>
              <w:t>0.01</w:t>
            </w:r>
            <w:r>
              <w:rPr>
                <w:rFonts w:ascii="仿宋" w:hAnsi="仿宋" w:eastAsia="仿宋"/>
                <w:color w:val="000000"/>
                <w:spacing w:val="10"/>
                <w:sz w:val="18"/>
                <w:szCs w:val="18"/>
                <w:highlight w:val="none"/>
                <w:u w:val="single"/>
              </w:rPr>
              <w:t>％</w:t>
            </w:r>
            <w:r>
              <w:rPr>
                <w:rFonts w:hint="eastAsia" w:ascii="仿宋" w:hAnsi="仿宋" w:eastAsia="仿宋"/>
                <w:color w:val="000000"/>
                <w:spacing w:val="10"/>
                <w:sz w:val="18"/>
                <w:szCs w:val="18"/>
                <w:highlight w:val="none"/>
              </w:rPr>
              <w:t>（年化）每日计提并收取托管费，产品到期一次性支付</w:t>
            </w:r>
            <w:r>
              <w:rPr>
                <w:rFonts w:hint="eastAsia" w:ascii="仿宋" w:hAnsi="仿宋" w:eastAsia="仿宋"/>
                <w:color w:val="000000"/>
                <w:spacing w:val="10"/>
                <w:sz w:val="18"/>
                <w:szCs w:val="18"/>
                <w:highlight w:val="none"/>
                <w:lang w:eastAsia="zh-CN"/>
              </w:rPr>
              <w:t>。</w:t>
            </w:r>
          </w:p>
          <w:p w14:paraId="6E0C6707">
            <w:pPr>
              <w:rPr>
                <w:rFonts w:hint="eastAsia" w:ascii="仿宋" w:hAnsi="仿宋" w:eastAsia="仿宋" w:cs="Times New Roman"/>
                <w:sz w:val="18"/>
                <w:szCs w:val="18"/>
                <w:highlight w:val="none"/>
                <w:lang w:eastAsia="zh-CN"/>
              </w:rPr>
            </w:pPr>
            <w:r>
              <w:rPr>
                <w:rFonts w:hint="eastAsia" w:ascii="仿宋" w:hAnsi="仿宋" w:eastAsia="仿宋"/>
                <w:sz w:val="18"/>
                <w:szCs w:val="18"/>
                <w:highlight w:val="none"/>
              </w:rPr>
              <w:t>管理费：本产品按当日存续本金</w:t>
            </w:r>
            <w:r>
              <w:rPr>
                <w:rFonts w:hint="eastAsia" w:ascii="仿宋" w:hAnsi="仿宋" w:eastAsia="仿宋"/>
                <w:sz w:val="18"/>
                <w:szCs w:val="18"/>
                <w:highlight w:val="none"/>
                <w:u w:val="single"/>
              </w:rPr>
              <w:t>0.00</w:t>
            </w:r>
            <w:r>
              <w:rPr>
                <w:rFonts w:ascii="仿宋" w:hAnsi="仿宋" w:eastAsia="仿宋"/>
                <w:color w:val="000000"/>
                <w:spacing w:val="10"/>
                <w:sz w:val="18"/>
                <w:szCs w:val="18"/>
                <w:highlight w:val="none"/>
                <w:u w:val="single"/>
              </w:rPr>
              <w:t>％</w:t>
            </w:r>
            <w:r>
              <w:rPr>
                <w:rFonts w:hint="eastAsia" w:ascii="仿宋" w:hAnsi="仿宋" w:eastAsia="仿宋"/>
                <w:color w:val="000000"/>
                <w:spacing w:val="10"/>
                <w:sz w:val="18"/>
                <w:szCs w:val="18"/>
                <w:highlight w:val="none"/>
              </w:rPr>
              <w:t>（年化）每日计提并收取固定管理费并到期一次性支付</w:t>
            </w:r>
            <w:r>
              <w:rPr>
                <w:rFonts w:hint="eastAsia" w:ascii="仿宋" w:hAnsi="仿宋" w:eastAsia="仿宋"/>
                <w:color w:val="000000"/>
                <w:spacing w:val="10"/>
                <w:sz w:val="18"/>
                <w:szCs w:val="18"/>
                <w:highlight w:val="none"/>
                <w:lang w:eastAsia="zh-CN"/>
              </w:rPr>
              <w:t>。</w:t>
            </w:r>
            <w:r>
              <w:rPr>
                <w:rFonts w:hint="eastAsia" w:ascii="仿宋" w:hAnsi="仿宋" w:eastAsia="仿宋"/>
                <w:sz w:val="18"/>
                <w:szCs w:val="18"/>
                <w:highlight w:val="none"/>
              </w:rPr>
              <w:t>超额业绩报酬</w:t>
            </w:r>
            <w:r>
              <w:rPr>
                <w:rFonts w:hint="eastAsia" w:ascii="仿宋" w:hAnsi="仿宋" w:eastAsia="仿宋" w:cs="Times New Roman"/>
                <w:sz w:val="18"/>
                <w:szCs w:val="18"/>
                <w:highlight w:val="none"/>
              </w:rPr>
              <w:t>为本产品扣除销售服务费、托管费和管理费</w:t>
            </w:r>
            <w:r>
              <w:rPr>
                <w:rFonts w:hint="eastAsia" w:ascii="仿宋" w:hAnsi="仿宋" w:eastAsia="仿宋" w:cs="Times New Roman"/>
                <w:sz w:val="18"/>
                <w:szCs w:val="18"/>
                <w:highlight w:val="none"/>
                <w:lang w:val="en-US" w:eastAsia="zh-CN"/>
              </w:rPr>
              <w:t>等产品税费后</w:t>
            </w:r>
            <w:r>
              <w:rPr>
                <w:rFonts w:hint="eastAsia" w:ascii="仿宋" w:hAnsi="仿宋" w:eastAsia="仿宋" w:cs="Times New Roman"/>
                <w:sz w:val="18"/>
                <w:szCs w:val="18"/>
                <w:highlight w:val="none"/>
              </w:rPr>
              <w:t>，年化收益率低于业绩比较基准（含），不收取</w:t>
            </w:r>
            <w:r>
              <w:rPr>
                <w:rFonts w:hint="eastAsia" w:ascii="仿宋" w:hAnsi="仿宋" w:eastAsia="仿宋" w:cs="Times New Roman"/>
                <w:sz w:val="18"/>
                <w:szCs w:val="18"/>
                <w:highlight w:val="none"/>
                <w:lang w:val="en-US" w:eastAsia="zh-CN"/>
              </w:rPr>
              <w:t>超额</w:t>
            </w:r>
            <w:r>
              <w:rPr>
                <w:rFonts w:hint="eastAsia" w:ascii="仿宋" w:hAnsi="仿宋" w:eastAsia="仿宋" w:cs="Times New Roman"/>
                <w:sz w:val="18"/>
                <w:szCs w:val="18"/>
                <w:highlight w:val="none"/>
              </w:rPr>
              <w:t>业绩报酬；年化收益率超过业绩比较基准的部分，10%归投资者所有，90%为产品浮动管理费，随产品到期一次性支付</w:t>
            </w:r>
            <w:r>
              <w:rPr>
                <w:rFonts w:hint="eastAsia" w:ascii="仿宋" w:hAnsi="仿宋" w:eastAsia="仿宋" w:cs="Times New Roman"/>
                <w:sz w:val="18"/>
                <w:szCs w:val="18"/>
                <w:highlight w:val="none"/>
                <w:lang w:eastAsia="zh-CN"/>
              </w:rPr>
              <w:t>。</w:t>
            </w:r>
          </w:p>
          <w:p w14:paraId="1FE46D3D">
            <w:pPr>
              <w:rPr>
                <w:rFonts w:hint="eastAsia" w:ascii="仿宋" w:hAnsi="仿宋" w:eastAsia="仿宋"/>
                <w:color w:val="000000"/>
                <w:spacing w:val="10"/>
                <w:sz w:val="18"/>
                <w:szCs w:val="18"/>
                <w:highlight w:val="none"/>
                <w:lang w:eastAsia="zh-CN"/>
              </w:rPr>
            </w:pPr>
            <w:r>
              <w:rPr>
                <w:rFonts w:hint="eastAsia" w:ascii="仿宋" w:hAnsi="仿宋" w:eastAsia="仿宋"/>
                <w:sz w:val="18"/>
                <w:szCs w:val="18"/>
                <w:highlight w:val="none"/>
              </w:rPr>
              <w:t>运营服务费：本产品按当日存续本金</w:t>
            </w:r>
            <w:r>
              <w:rPr>
                <w:rFonts w:hint="eastAsia" w:ascii="仿宋" w:hAnsi="仿宋" w:eastAsia="仿宋"/>
                <w:sz w:val="18"/>
                <w:szCs w:val="18"/>
                <w:highlight w:val="none"/>
                <w:u w:val="single"/>
              </w:rPr>
              <w:t>0.01</w:t>
            </w:r>
            <w:r>
              <w:rPr>
                <w:rFonts w:ascii="仿宋" w:hAnsi="仿宋" w:eastAsia="仿宋"/>
                <w:color w:val="000000"/>
                <w:spacing w:val="10"/>
                <w:sz w:val="18"/>
                <w:szCs w:val="18"/>
                <w:highlight w:val="none"/>
                <w:u w:val="single"/>
              </w:rPr>
              <w:t>％</w:t>
            </w:r>
            <w:r>
              <w:rPr>
                <w:rFonts w:hint="eastAsia" w:ascii="仿宋" w:hAnsi="仿宋" w:eastAsia="仿宋"/>
                <w:color w:val="000000"/>
                <w:spacing w:val="10"/>
                <w:sz w:val="18"/>
                <w:szCs w:val="18"/>
                <w:highlight w:val="none"/>
              </w:rPr>
              <w:t>（年化）每日计提并收取运营服务费，产品到期一次性支付</w:t>
            </w:r>
            <w:r>
              <w:rPr>
                <w:rFonts w:hint="eastAsia" w:ascii="仿宋" w:hAnsi="仿宋" w:eastAsia="仿宋"/>
                <w:color w:val="000000"/>
                <w:spacing w:val="10"/>
                <w:sz w:val="18"/>
                <w:szCs w:val="18"/>
                <w:highlight w:val="none"/>
                <w:lang w:eastAsia="zh-CN"/>
              </w:rPr>
              <w:t>。</w:t>
            </w:r>
          </w:p>
          <w:p w14:paraId="0445E084">
            <w:pPr>
              <w:rPr>
                <w:rFonts w:hint="eastAsia" w:ascii="仿宋" w:hAnsi="仿宋" w:eastAsia="仿宋"/>
                <w:color w:val="000000"/>
                <w:spacing w:val="10"/>
                <w:sz w:val="18"/>
                <w:szCs w:val="18"/>
                <w:highlight w:val="none"/>
                <w:lang w:eastAsia="zh-CN"/>
              </w:rPr>
            </w:pPr>
            <w:r>
              <w:rPr>
                <w:rFonts w:hint="eastAsia" w:ascii="仿宋" w:hAnsi="仿宋" w:eastAsia="仿宋"/>
                <w:color w:val="000000"/>
                <w:spacing w:val="10"/>
                <w:sz w:val="18"/>
                <w:szCs w:val="18"/>
                <w:highlight w:val="none"/>
              </w:rPr>
              <w:t>其他费用：产品运作中可能产生的其他费用，包括但不限于银行划拨手续费、交易费用（包括但不限于交易佣金、货币中介服务费、撮合费用等）、理财产品验资费、审计费、律师费、信息披露费、清算费、执行费用、投后管理费、税费等，按照实际情况从产品中列支</w:t>
            </w:r>
            <w:r>
              <w:rPr>
                <w:rFonts w:hint="eastAsia" w:ascii="仿宋" w:hAnsi="仿宋" w:eastAsia="仿宋"/>
                <w:color w:val="000000"/>
                <w:spacing w:val="10"/>
                <w:sz w:val="18"/>
                <w:szCs w:val="18"/>
                <w:highlight w:val="none"/>
                <w:lang w:eastAsia="zh-CN"/>
              </w:rPr>
              <w:t>。</w:t>
            </w:r>
          </w:p>
        </w:tc>
      </w:tr>
      <w:tr w14:paraId="4D860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trPr>
        <w:tc>
          <w:tcPr>
            <w:tcW w:w="1701" w:type="dxa"/>
            <w:noWrap w:val="0"/>
            <w:vAlign w:val="center"/>
          </w:tcPr>
          <w:p w14:paraId="2FFD5AC0">
            <w:pPr>
              <w:jc w:val="center"/>
              <w:rPr>
                <w:rFonts w:ascii="仿宋" w:hAnsi="仿宋" w:eastAsia="仿宋"/>
                <w:b/>
                <w:sz w:val="18"/>
                <w:szCs w:val="18"/>
                <w:highlight w:val="none"/>
              </w:rPr>
            </w:pPr>
            <w:r>
              <w:rPr>
                <w:rFonts w:hint="eastAsia" w:ascii="仿宋" w:hAnsi="仿宋" w:eastAsia="仿宋"/>
                <w:b/>
                <w:sz w:val="18"/>
                <w:szCs w:val="18"/>
                <w:highlight w:val="none"/>
              </w:rPr>
              <w:t>产品提前终止权</w:t>
            </w:r>
          </w:p>
        </w:tc>
        <w:tc>
          <w:tcPr>
            <w:tcW w:w="7513" w:type="dxa"/>
            <w:noWrap w:val="0"/>
            <w:vAlign w:val="center"/>
          </w:tcPr>
          <w:p w14:paraId="6D20CF13">
            <w:pPr>
              <w:rPr>
                <w:rFonts w:hint="eastAsia" w:ascii="仿宋" w:hAnsi="仿宋" w:eastAsia="仿宋"/>
                <w:color w:val="000000"/>
                <w:spacing w:val="10"/>
                <w:sz w:val="18"/>
                <w:szCs w:val="18"/>
                <w:highlight w:val="none"/>
                <w:lang w:eastAsia="zh-CN"/>
              </w:rPr>
            </w:pPr>
            <w:r>
              <w:rPr>
                <w:rFonts w:hint="eastAsia" w:ascii="仿宋" w:hAnsi="仿宋" w:eastAsia="仿宋"/>
                <w:sz w:val="18"/>
                <w:szCs w:val="18"/>
                <w:highlight w:val="none"/>
              </w:rPr>
              <w:t>遇有不可抗力因素或国家重大政策调整，或市场出现巨大不利波动，造成投资收益严重不能满足理财收益</w:t>
            </w:r>
            <w:r>
              <w:rPr>
                <w:rFonts w:hint="eastAsia" w:ascii="仿宋" w:hAnsi="仿宋" w:eastAsia="仿宋"/>
                <w:sz w:val="18"/>
                <w:szCs w:val="18"/>
                <w:highlight w:val="none"/>
                <w:lang w:eastAsia="zh-CN"/>
              </w:rPr>
              <w:t>，</w:t>
            </w:r>
            <w:r>
              <w:rPr>
                <w:rFonts w:hint="eastAsia" w:ascii="仿宋" w:hAnsi="仿宋" w:eastAsia="仿宋"/>
                <w:sz w:val="18"/>
                <w:szCs w:val="18"/>
                <w:highlight w:val="none"/>
                <w:lang w:val="en-US" w:eastAsia="zh-CN"/>
              </w:rPr>
              <w:t>大连农商银行</w:t>
            </w:r>
            <w:r>
              <w:rPr>
                <w:rFonts w:hint="eastAsia" w:ascii="仿宋" w:hAnsi="仿宋" w:eastAsia="仿宋"/>
                <w:sz w:val="18"/>
                <w:szCs w:val="18"/>
                <w:highlight w:val="none"/>
              </w:rPr>
              <w:t>有权提前向投资人公告终止该投资计划，投资人无权提前终止计划</w:t>
            </w:r>
            <w:r>
              <w:rPr>
                <w:rFonts w:hint="eastAsia" w:ascii="仿宋" w:hAnsi="仿宋" w:eastAsia="仿宋"/>
                <w:sz w:val="18"/>
                <w:szCs w:val="18"/>
                <w:highlight w:val="none"/>
                <w:lang w:eastAsia="zh-CN"/>
              </w:rPr>
              <w:t>。</w:t>
            </w:r>
          </w:p>
        </w:tc>
      </w:tr>
      <w:tr w14:paraId="3ED2B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701" w:type="dxa"/>
            <w:noWrap w:val="0"/>
            <w:vAlign w:val="center"/>
          </w:tcPr>
          <w:p w14:paraId="7E25B473">
            <w:pPr>
              <w:jc w:val="center"/>
              <w:rPr>
                <w:rFonts w:ascii="仿宋" w:hAnsi="仿宋" w:eastAsia="仿宋"/>
                <w:b/>
                <w:sz w:val="18"/>
                <w:szCs w:val="18"/>
                <w:highlight w:val="none"/>
              </w:rPr>
            </w:pPr>
            <w:r>
              <w:rPr>
                <w:rFonts w:hint="eastAsia" w:ascii="仿宋" w:hAnsi="仿宋" w:eastAsia="仿宋"/>
                <w:b/>
                <w:sz w:val="18"/>
                <w:szCs w:val="18"/>
                <w:highlight w:val="none"/>
              </w:rPr>
              <w:t>税款</w:t>
            </w:r>
          </w:p>
        </w:tc>
        <w:tc>
          <w:tcPr>
            <w:tcW w:w="7513" w:type="dxa"/>
            <w:noWrap w:val="0"/>
            <w:vAlign w:val="center"/>
          </w:tcPr>
          <w:p w14:paraId="7054CDCF">
            <w:pPr>
              <w:rPr>
                <w:rFonts w:hint="eastAsia" w:ascii="仿宋" w:hAnsi="仿宋" w:eastAsia="仿宋"/>
                <w:color w:val="000000"/>
                <w:sz w:val="18"/>
                <w:szCs w:val="18"/>
                <w:highlight w:val="none"/>
                <w:lang w:eastAsia="zh-CN"/>
              </w:rPr>
            </w:pPr>
            <w:r>
              <w:rPr>
                <w:rFonts w:hint="eastAsia" w:ascii="仿宋" w:hAnsi="仿宋" w:eastAsia="仿宋"/>
                <w:color w:val="000000"/>
                <w:sz w:val="18"/>
                <w:szCs w:val="18"/>
                <w:highlight w:val="none"/>
              </w:rPr>
              <w:t>根据中国增值税相关法律法规、税收政策等要求，理财产品运营过程中发生的增值税应税行为，以理财产品管理人为纳税人。签约各方同意本理财产品在运营过程应缴纳的增值税及附加税费（包括但不限于，城市维护建设税、教育费附加及地方教育附加等）由管理人从理财产品财产中支付，并依据中国税务机关要求，履行相关纳税申报义务。投资者从理财产品取得的收益应缴纳的税款，由投资者自行申报及缴纳</w:t>
            </w:r>
            <w:r>
              <w:rPr>
                <w:rFonts w:hint="eastAsia" w:ascii="仿宋" w:hAnsi="仿宋" w:eastAsia="仿宋"/>
                <w:color w:val="000000"/>
                <w:sz w:val="18"/>
                <w:szCs w:val="18"/>
                <w:highlight w:val="none"/>
                <w:lang w:eastAsia="zh-CN"/>
              </w:rPr>
              <w:t>。</w:t>
            </w:r>
          </w:p>
        </w:tc>
      </w:tr>
      <w:tr w14:paraId="07D78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1701" w:type="dxa"/>
            <w:noWrap w:val="0"/>
            <w:vAlign w:val="center"/>
          </w:tcPr>
          <w:p w14:paraId="4E850A92">
            <w:pPr>
              <w:jc w:val="center"/>
              <w:rPr>
                <w:rFonts w:hint="default" w:ascii="仿宋" w:hAnsi="仿宋" w:eastAsia="仿宋"/>
                <w:b/>
                <w:sz w:val="18"/>
                <w:szCs w:val="18"/>
                <w:highlight w:val="none"/>
                <w:lang w:val="en-US" w:eastAsia="zh-CN"/>
              </w:rPr>
            </w:pPr>
            <w:r>
              <w:rPr>
                <w:rFonts w:hint="eastAsia" w:ascii="仿宋" w:hAnsi="仿宋" w:eastAsia="仿宋"/>
                <w:b/>
                <w:sz w:val="18"/>
                <w:szCs w:val="18"/>
                <w:highlight w:val="none"/>
              </w:rPr>
              <w:t>信息披露方式</w:t>
            </w:r>
          </w:p>
        </w:tc>
        <w:tc>
          <w:tcPr>
            <w:tcW w:w="7513" w:type="dxa"/>
            <w:noWrap w:val="0"/>
            <w:vAlign w:val="center"/>
          </w:tcPr>
          <w:p w14:paraId="362451DC">
            <w:pPr>
              <w:rPr>
                <w:rFonts w:hint="default" w:ascii="仿宋" w:hAnsi="仿宋" w:eastAsia="仿宋"/>
                <w:sz w:val="18"/>
                <w:szCs w:val="18"/>
                <w:highlight w:val="none"/>
                <w:lang w:val="en-US" w:eastAsia="zh-CN"/>
              </w:rPr>
            </w:pPr>
            <w:r>
              <w:rPr>
                <w:rFonts w:hint="eastAsia" w:ascii="仿宋" w:hAnsi="仿宋" w:eastAsia="仿宋"/>
                <w:sz w:val="18"/>
                <w:szCs w:val="18"/>
                <w:highlight w:val="none"/>
                <w:lang w:val="en-US" w:eastAsia="zh-CN"/>
              </w:rPr>
              <w:t>具体内容详见“</w:t>
            </w:r>
            <w:r>
              <w:rPr>
                <w:rFonts w:hint="eastAsia" w:ascii="仿宋" w:hAnsi="仿宋" w:eastAsia="仿宋"/>
                <w:b/>
                <w:bCs/>
                <w:sz w:val="18"/>
                <w:szCs w:val="18"/>
                <w:highlight w:val="none"/>
                <w:lang w:val="en-US" w:eastAsia="zh-CN"/>
              </w:rPr>
              <w:t>理财产品信息披露</w:t>
            </w:r>
            <w:r>
              <w:rPr>
                <w:rFonts w:hint="eastAsia" w:ascii="仿宋" w:hAnsi="仿宋" w:eastAsia="仿宋"/>
                <w:sz w:val="18"/>
                <w:szCs w:val="18"/>
                <w:highlight w:val="none"/>
                <w:lang w:val="en-US" w:eastAsia="zh-CN"/>
              </w:rPr>
              <w:t>”</w:t>
            </w:r>
          </w:p>
        </w:tc>
      </w:tr>
      <w:tr w14:paraId="7FAF2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1701" w:type="dxa"/>
            <w:noWrap w:val="0"/>
            <w:vAlign w:val="center"/>
          </w:tcPr>
          <w:p w14:paraId="2780C57B">
            <w:pPr>
              <w:jc w:val="center"/>
              <w:rPr>
                <w:rFonts w:ascii="仿宋" w:hAnsi="仿宋" w:eastAsia="仿宋"/>
                <w:b/>
                <w:sz w:val="18"/>
                <w:szCs w:val="18"/>
                <w:highlight w:val="none"/>
              </w:rPr>
            </w:pPr>
            <w:r>
              <w:rPr>
                <w:rFonts w:hint="eastAsia" w:ascii="仿宋" w:hAnsi="仿宋" w:eastAsia="仿宋"/>
                <w:b/>
                <w:sz w:val="18"/>
                <w:szCs w:val="18"/>
                <w:highlight w:val="none"/>
              </w:rPr>
              <w:t>提前终止条款</w:t>
            </w:r>
          </w:p>
        </w:tc>
        <w:tc>
          <w:tcPr>
            <w:tcW w:w="7513" w:type="dxa"/>
            <w:noWrap w:val="0"/>
            <w:vAlign w:val="center"/>
          </w:tcPr>
          <w:p w14:paraId="77D043BD">
            <w:pPr>
              <w:spacing w:line="300" w:lineRule="exact"/>
              <w:rPr>
                <w:rFonts w:hint="eastAsia" w:ascii="仿宋" w:hAnsi="仿宋" w:eastAsia="仿宋" w:cs="Times New Roman"/>
                <w:sz w:val="18"/>
                <w:szCs w:val="18"/>
                <w:highlight w:val="none"/>
              </w:rPr>
            </w:pPr>
            <w:r>
              <w:rPr>
                <w:rFonts w:hint="eastAsia" w:ascii="仿宋" w:hAnsi="仿宋" w:eastAsia="仿宋" w:cs="Times New Roman"/>
                <w:sz w:val="18"/>
                <w:szCs w:val="18"/>
                <w:highlight w:val="none"/>
              </w:rPr>
              <w:t>在理财</w:t>
            </w:r>
            <w:r>
              <w:rPr>
                <w:rFonts w:hint="eastAsia" w:ascii="仿宋" w:hAnsi="仿宋" w:eastAsia="仿宋" w:cs="Times New Roman"/>
                <w:sz w:val="18"/>
                <w:szCs w:val="18"/>
                <w:highlight w:val="none"/>
                <w:lang w:val="en-US" w:eastAsia="zh-CN"/>
              </w:rPr>
              <w:t>产品存续</w:t>
            </w:r>
            <w:r>
              <w:rPr>
                <w:rFonts w:hint="eastAsia" w:ascii="仿宋" w:hAnsi="仿宋" w:eastAsia="仿宋" w:cs="Times New Roman"/>
                <w:sz w:val="18"/>
                <w:szCs w:val="18"/>
                <w:highlight w:val="none"/>
              </w:rPr>
              <w:t>期限内，大连农商银行根据投资情况有提前终止权，于本理财计划提前终止日前</w:t>
            </w:r>
            <w:r>
              <w:rPr>
                <w:rFonts w:hint="eastAsia" w:ascii="仿宋" w:hAnsi="仿宋" w:eastAsia="仿宋" w:cs="Times New Roman"/>
                <w:sz w:val="18"/>
                <w:szCs w:val="18"/>
                <w:highlight w:val="none"/>
                <w:lang w:val="en-US" w:eastAsia="zh-CN"/>
              </w:rPr>
              <w:t>2</w:t>
            </w:r>
            <w:r>
              <w:rPr>
                <w:rFonts w:hint="eastAsia" w:ascii="仿宋" w:hAnsi="仿宋" w:eastAsia="仿宋" w:cs="Times New Roman"/>
                <w:sz w:val="18"/>
                <w:szCs w:val="18"/>
                <w:highlight w:val="none"/>
              </w:rPr>
              <w:t>个工作日通过大连农商银行</w:t>
            </w:r>
            <w:r>
              <w:rPr>
                <w:rFonts w:hint="eastAsia" w:ascii="仿宋" w:hAnsi="仿宋" w:eastAsia="仿宋" w:cs="Times New Roman"/>
                <w:sz w:val="18"/>
                <w:szCs w:val="18"/>
                <w:highlight w:val="none"/>
                <w:lang w:val="en-US" w:eastAsia="zh-CN"/>
              </w:rPr>
              <w:t>约定渠道</w:t>
            </w:r>
            <w:r>
              <w:rPr>
                <w:rFonts w:hint="eastAsia" w:ascii="仿宋" w:hAnsi="仿宋" w:eastAsia="仿宋" w:cs="Times New Roman"/>
                <w:sz w:val="18"/>
                <w:szCs w:val="18"/>
                <w:highlight w:val="none"/>
              </w:rPr>
              <w:t xml:space="preserve">发布提前终止公告，并于终止日后3个工作日内将可兑付款项按规定的要求划入投资者授权指定的理财账户。终止日至资金实际到账日之间，投资者资金不计息。如发生以下事项时，大连农商银行可对本理财计划行使全部或部分提前终止权： </w:t>
            </w:r>
          </w:p>
          <w:p w14:paraId="19415A05">
            <w:pPr>
              <w:spacing w:line="300" w:lineRule="exact"/>
              <w:rPr>
                <w:rFonts w:hint="eastAsia" w:ascii="仿宋" w:hAnsi="仿宋" w:eastAsia="仿宋" w:cs="Times New Roman"/>
                <w:sz w:val="18"/>
                <w:szCs w:val="18"/>
                <w:highlight w:val="none"/>
              </w:rPr>
            </w:pPr>
            <w:r>
              <w:rPr>
                <w:rFonts w:hint="eastAsia" w:ascii="仿宋" w:hAnsi="仿宋" w:eastAsia="仿宋" w:cs="Times New Roman"/>
                <w:sz w:val="18"/>
                <w:szCs w:val="18"/>
                <w:highlight w:val="none"/>
              </w:rPr>
              <w:t>如因本理财</w:t>
            </w:r>
            <w:r>
              <w:rPr>
                <w:rFonts w:hint="eastAsia" w:ascii="仿宋" w:hAnsi="仿宋" w:eastAsia="仿宋" w:cs="Times New Roman"/>
                <w:sz w:val="18"/>
                <w:szCs w:val="18"/>
                <w:highlight w:val="none"/>
                <w:lang w:val="en-US" w:eastAsia="zh-CN"/>
              </w:rPr>
              <w:t>产品</w:t>
            </w:r>
            <w:r>
              <w:rPr>
                <w:rFonts w:hint="eastAsia" w:ascii="仿宋" w:hAnsi="仿宋" w:eastAsia="仿宋" w:cs="Times New Roman"/>
                <w:sz w:val="18"/>
                <w:szCs w:val="18"/>
                <w:highlight w:val="none"/>
              </w:rPr>
              <w:t>资产运作模式等与法律法规、规章的规定或者监管部门的要求等存在冲突导致理财</w:t>
            </w:r>
            <w:r>
              <w:rPr>
                <w:rFonts w:hint="eastAsia" w:ascii="仿宋" w:hAnsi="仿宋" w:eastAsia="仿宋" w:cs="Times New Roman"/>
                <w:sz w:val="18"/>
                <w:szCs w:val="18"/>
                <w:highlight w:val="none"/>
                <w:lang w:val="en-US" w:eastAsia="zh-CN"/>
              </w:rPr>
              <w:t>产品</w:t>
            </w:r>
            <w:r>
              <w:rPr>
                <w:rFonts w:hint="eastAsia" w:ascii="仿宋" w:hAnsi="仿宋" w:eastAsia="仿宋" w:cs="Times New Roman"/>
                <w:sz w:val="18"/>
                <w:szCs w:val="18"/>
                <w:highlight w:val="none"/>
              </w:rPr>
              <w:t xml:space="preserve">必须提前终止的。 </w:t>
            </w:r>
          </w:p>
          <w:p w14:paraId="2168CC8B">
            <w:pPr>
              <w:spacing w:line="300" w:lineRule="exact"/>
              <w:rPr>
                <w:rFonts w:hint="eastAsia" w:ascii="仿宋" w:hAnsi="仿宋" w:eastAsia="仿宋" w:cs="Times New Roman"/>
                <w:sz w:val="18"/>
                <w:szCs w:val="18"/>
                <w:highlight w:val="none"/>
              </w:rPr>
            </w:pPr>
            <w:r>
              <w:rPr>
                <w:rFonts w:hint="eastAsia" w:ascii="仿宋" w:hAnsi="仿宋" w:eastAsia="仿宋" w:cs="Times New Roman"/>
                <w:sz w:val="18"/>
                <w:szCs w:val="18"/>
                <w:highlight w:val="none"/>
              </w:rPr>
              <w:t>国家有关法律、法规、规章、政策的改变、紧急措施的出台、理财市场环境发生重大变化等导致理财</w:t>
            </w:r>
            <w:r>
              <w:rPr>
                <w:rFonts w:hint="eastAsia" w:ascii="仿宋" w:hAnsi="仿宋" w:eastAsia="仿宋" w:cs="Times New Roman"/>
                <w:sz w:val="18"/>
                <w:szCs w:val="18"/>
                <w:highlight w:val="none"/>
                <w:lang w:val="en-US" w:eastAsia="zh-CN"/>
              </w:rPr>
              <w:t>产品</w:t>
            </w:r>
            <w:r>
              <w:rPr>
                <w:rFonts w:hint="eastAsia" w:ascii="仿宋" w:hAnsi="仿宋" w:eastAsia="仿宋" w:cs="Times New Roman"/>
                <w:sz w:val="18"/>
                <w:szCs w:val="18"/>
                <w:highlight w:val="none"/>
              </w:rPr>
              <w:t xml:space="preserve">必须提前终止的。 </w:t>
            </w:r>
          </w:p>
          <w:p w14:paraId="21B3B945">
            <w:pPr>
              <w:spacing w:line="300" w:lineRule="exact"/>
              <w:rPr>
                <w:rFonts w:hint="eastAsia" w:ascii="仿宋" w:hAnsi="仿宋" w:eastAsia="仿宋" w:cs="Times New Roman"/>
                <w:sz w:val="18"/>
                <w:szCs w:val="18"/>
                <w:highlight w:val="none"/>
              </w:rPr>
            </w:pPr>
            <w:r>
              <w:rPr>
                <w:rFonts w:hint="eastAsia" w:ascii="仿宋" w:hAnsi="仿宋" w:eastAsia="仿宋" w:cs="Times New Roman"/>
                <w:sz w:val="18"/>
                <w:szCs w:val="18"/>
                <w:highlight w:val="none"/>
              </w:rPr>
              <w:t>因不可抗力因素导致本理财</w:t>
            </w:r>
            <w:r>
              <w:rPr>
                <w:rFonts w:hint="eastAsia" w:ascii="仿宋" w:hAnsi="仿宋" w:eastAsia="仿宋" w:cs="Times New Roman"/>
                <w:sz w:val="18"/>
                <w:szCs w:val="18"/>
                <w:highlight w:val="none"/>
                <w:lang w:val="en-US" w:eastAsia="zh-CN"/>
              </w:rPr>
              <w:t>产品</w:t>
            </w:r>
            <w:r>
              <w:rPr>
                <w:rFonts w:hint="eastAsia" w:ascii="仿宋" w:hAnsi="仿宋" w:eastAsia="仿宋" w:cs="Times New Roman"/>
                <w:sz w:val="18"/>
                <w:szCs w:val="18"/>
                <w:highlight w:val="none"/>
              </w:rPr>
              <w:t xml:space="preserve">必须提前终止的。 </w:t>
            </w:r>
          </w:p>
          <w:p w14:paraId="268B0108">
            <w:pPr>
              <w:spacing w:line="300" w:lineRule="exact"/>
              <w:rPr>
                <w:rFonts w:hint="eastAsia" w:ascii="仿宋" w:hAnsi="仿宋" w:eastAsia="仿宋" w:cs="Times New Roman"/>
                <w:sz w:val="18"/>
                <w:szCs w:val="18"/>
                <w:highlight w:val="none"/>
              </w:rPr>
            </w:pPr>
            <w:r>
              <w:rPr>
                <w:rFonts w:hint="eastAsia" w:ascii="仿宋" w:hAnsi="仿宋" w:eastAsia="仿宋" w:cs="Times New Roman"/>
                <w:sz w:val="18"/>
                <w:szCs w:val="18"/>
                <w:highlight w:val="none"/>
              </w:rPr>
              <w:t>理财</w:t>
            </w:r>
            <w:r>
              <w:rPr>
                <w:rFonts w:hint="eastAsia" w:ascii="仿宋" w:hAnsi="仿宋" w:eastAsia="仿宋" w:cs="Times New Roman"/>
                <w:sz w:val="18"/>
                <w:szCs w:val="18"/>
                <w:highlight w:val="none"/>
                <w:lang w:val="en-US" w:eastAsia="zh-CN"/>
              </w:rPr>
              <w:t>产品</w:t>
            </w:r>
            <w:r>
              <w:rPr>
                <w:rFonts w:hint="eastAsia" w:ascii="仿宋" w:hAnsi="仿宋" w:eastAsia="仿宋" w:cs="Times New Roman"/>
                <w:sz w:val="18"/>
                <w:szCs w:val="18"/>
                <w:highlight w:val="none"/>
              </w:rPr>
              <w:t xml:space="preserve">的投资策略已不适合当前的市场环境的。 </w:t>
            </w:r>
          </w:p>
          <w:p w14:paraId="0908166A">
            <w:pPr>
              <w:spacing w:line="300" w:lineRule="exact"/>
              <w:rPr>
                <w:rFonts w:hint="eastAsia" w:ascii="仿宋" w:hAnsi="仿宋" w:eastAsia="仿宋" w:cs="Times New Roman"/>
                <w:sz w:val="18"/>
                <w:szCs w:val="18"/>
                <w:highlight w:val="none"/>
              </w:rPr>
            </w:pPr>
            <w:r>
              <w:rPr>
                <w:rFonts w:hint="eastAsia" w:ascii="仿宋" w:hAnsi="仿宋" w:eastAsia="仿宋" w:cs="Times New Roman"/>
                <w:sz w:val="18"/>
                <w:szCs w:val="18"/>
                <w:highlight w:val="none"/>
              </w:rPr>
              <w:t xml:space="preserve">融资人行使提前到期或还款权利的。 </w:t>
            </w:r>
          </w:p>
          <w:p w14:paraId="430DB02F">
            <w:pPr>
              <w:spacing w:line="300" w:lineRule="exact"/>
              <w:rPr>
                <w:rFonts w:hint="eastAsia" w:ascii="仿宋" w:hAnsi="仿宋" w:eastAsia="仿宋" w:cs="Times New Roman"/>
                <w:sz w:val="18"/>
                <w:szCs w:val="18"/>
                <w:highlight w:val="none"/>
              </w:rPr>
            </w:pPr>
            <w:r>
              <w:rPr>
                <w:rFonts w:hint="eastAsia" w:ascii="仿宋" w:hAnsi="仿宋" w:eastAsia="仿宋" w:cs="Times New Roman"/>
                <w:sz w:val="18"/>
                <w:szCs w:val="18"/>
                <w:highlight w:val="none"/>
              </w:rPr>
              <w:t>大连农商银行认为应该提前终止的其他情形。</w:t>
            </w:r>
          </w:p>
          <w:p w14:paraId="3D727E51">
            <w:pPr>
              <w:spacing w:line="300" w:lineRule="exact"/>
              <w:rPr>
                <w:rFonts w:hint="eastAsia" w:ascii="仿宋" w:hAnsi="仿宋" w:eastAsia="仿宋" w:cs="Times New Roman"/>
                <w:sz w:val="18"/>
                <w:szCs w:val="18"/>
                <w:highlight w:val="none"/>
              </w:rPr>
            </w:pPr>
            <w:r>
              <w:rPr>
                <w:rFonts w:hint="eastAsia" w:ascii="仿宋" w:hAnsi="仿宋" w:eastAsia="仿宋" w:cs="Times New Roman"/>
                <w:sz w:val="18"/>
                <w:szCs w:val="18"/>
                <w:highlight w:val="none"/>
                <w:lang w:val="en-US" w:eastAsia="zh-CN"/>
              </w:rPr>
              <w:t>除不可抗力因素和国家法律法规另有规定的情形外，投资者不得提前赎回本产品。</w:t>
            </w:r>
          </w:p>
        </w:tc>
      </w:tr>
      <w:tr w14:paraId="62B3B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trPr>
        <w:tc>
          <w:tcPr>
            <w:tcW w:w="1701" w:type="dxa"/>
            <w:noWrap w:val="0"/>
            <w:vAlign w:val="center"/>
          </w:tcPr>
          <w:p w14:paraId="18674186">
            <w:pPr>
              <w:jc w:val="center"/>
              <w:rPr>
                <w:rFonts w:ascii="仿宋" w:hAnsi="仿宋" w:eastAsia="仿宋"/>
                <w:b/>
                <w:sz w:val="18"/>
                <w:szCs w:val="18"/>
                <w:highlight w:val="none"/>
              </w:rPr>
            </w:pPr>
            <w:r>
              <w:rPr>
                <w:rFonts w:hint="eastAsia" w:ascii="仿宋" w:hAnsi="仿宋" w:eastAsia="仿宋"/>
                <w:b/>
                <w:sz w:val="18"/>
                <w:szCs w:val="18"/>
                <w:highlight w:val="none"/>
              </w:rPr>
              <w:t>免责条款</w:t>
            </w:r>
          </w:p>
        </w:tc>
        <w:tc>
          <w:tcPr>
            <w:tcW w:w="7513" w:type="dxa"/>
            <w:noWrap w:val="0"/>
            <w:vAlign w:val="center"/>
          </w:tcPr>
          <w:p w14:paraId="172B904F">
            <w:pPr>
              <w:spacing w:line="300" w:lineRule="exact"/>
              <w:rPr>
                <w:rFonts w:ascii="仿宋" w:hAnsi="仿宋" w:eastAsia="仿宋"/>
                <w:b/>
                <w:bCs/>
                <w:sz w:val="18"/>
                <w:szCs w:val="18"/>
                <w:highlight w:val="none"/>
              </w:rPr>
            </w:pPr>
            <w:r>
              <w:rPr>
                <w:rFonts w:hint="eastAsia" w:ascii="仿宋" w:hAnsi="仿宋" w:eastAsia="仿宋"/>
                <w:b/>
                <w:bCs/>
                <w:sz w:val="18"/>
                <w:szCs w:val="18"/>
                <w:highlight w:val="none"/>
              </w:rPr>
              <w:t>1、大连农商银行对本产品收益不做任何承诺；客户所能获得的最终收益以投资理财产品最终清算的客户可得收益为准。</w:t>
            </w:r>
          </w:p>
          <w:p w14:paraId="3CDBF153">
            <w:pPr>
              <w:spacing w:line="300" w:lineRule="exact"/>
              <w:rPr>
                <w:rFonts w:ascii="仿宋" w:hAnsi="仿宋" w:eastAsia="仿宋"/>
                <w:b/>
                <w:bCs/>
                <w:sz w:val="18"/>
                <w:szCs w:val="18"/>
                <w:highlight w:val="none"/>
              </w:rPr>
            </w:pPr>
            <w:r>
              <w:rPr>
                <w:rFonts w:hint="eastAsia" w:ascii="仿宋" w:hAnsi="仿宋" w:eastAsia="仿宋"/>
                <w:b/>
                <w:bCs/>
                <w:sz w:val="18"/>
                <w:szCs w:val="18"/>
                <w:highlight w:val="none"/>
              </w:rPr>
              <w:t>2、本产品面临各类风险产生的理财收益损失由投资人自行承担，大连农商银行不承担任何责任。</w:t>
            </w:r>
          </w:p>
          <w:p w14:paraId="1274CD63">
            <w:pPr>
              <w:spacing w:line="300" w:lineRule="exact"/>
              <w:rPr>
                <w:rFonts w:hint="eastAsia" w:ascii="仿宋" w:hAnsi="仿宋" w:eastAsia="仿宋"/>
                <w:b/>
                <w:bCs/>
                <w:sz w:val="18"/>
                <w:szCs w:val="18"/>
                <w:highlight w:val="none"/>
                <w:lang w:eastAsia="zh-CN"/>
              </w:rPr>
            </w:pPr>
            <w:r>
              <w:rPr>
                <w:rFonts w:hint="eastAsia" w:ascii="仿宋" w:hAnsi="仿宋" w:eastAsia="仿宋"/>
                <w:b/>
                <w:bCs/>
                <w:sz w:val="18"/>
                <w:szCs w:val="18"/>
                <w:highlight w:val="none"/>
              </w:rPr>
              <w:t>3、大连农商银行将恪守勤勉尽责的原则，合理配置资产组合，为客户提供专业化的理财服务</w:t>
            </w:r>
            <w:r>
              <w:rPr>
                <w:rFonts w:hint="eastAsia" w:ascii="仿宋" w:hAnsi="仿宋" w:eastAsia="仿宋"/>
                <w:b/>
                <w:bCs/>
                <w:sz w:val="18"/>
                <w:szCs w:val="18"/>
                <w:highlight w:val="none"/>
                <w:lang w:eastAsia="zh-CN"/>
              </w:rPr>
              <w:t>。</w:t>
            </w:r>
          </w:p>
        </w:tc>
      </w:tr>
      <w:tr w14:paraId="45966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1" w:hRule="atLeast"/>
        </w:trPr>
        <w:tc>
          <w:tcPr>
            <w:tcW w:w="1701" w:type="dxa"/>
            <w:noWrap w:val="0"/>
            <w:vAlign w:val="center"/>
          </w:tcPr>
          <w:p w14:paraId="5139835D">
            <w:pPr>
              <w:jc w:val="center"/>
              <w:rPr>
                <w:rFonts w:ascii="仿宋" w:hAnsi="仿宋" w:eastAsia="仿宋"/>
                <w:b/>
                <w:sz w:val="18"/>
                <w:szCs w:val="18"/>
                <w:highlight w:val="none"/>
              </w:rPr>
            </w:pPr>
            <w:r>
              <w:rPr>
                <w:rFonts w:hint="eastAsia" w:ascii="仿宋" w:hAnsi="仿宋" w:eastAsia="仿宋"/>
                <w:b/>
                <w:sz w:val="18"/>
                <w:szCs w:val="18"/>
                <w:highlight w:val="none"/>
              </w:rPr>
              <w:t>其他规定</w:t>
            </w:r>
          </w:p>
        </w:tc>
        <w:tc>
          <w:tcPr>
            <w:tcW w:w="7513" w:type="dxa"/>
            <w:noWrap w:val="0"/>
            <w:vAlign w:val="center"/>
          </w:tcPr>
          <w:p w14:paraId="109BF0EE">
            <w:pPr>
              <w:spacing w:line="300" w:lineRule="exact"/>
              <w:rPr>
                <w:rFonts w:ascii="仿宋" w:hAnsi="仿宋" w:eastAsia="仿宋"/>
                <w:sz w:val="18"/>
                <w:szCs w:val="18"/>
                <w:highlight w:val="none"/>
              </w:rPr>
            </w:pPr>
            <w:r>
              <w:rPr>
                <w:rFonts w:hint="eastAsia" w:ascii="仿宋" w:hAnsi="仿宋" w:eastAsia="仿宋"/>
                <w:sz w:val="18"/>
                <w:szCs w:val="18"/>
                <w:highlight w:val="none"/>
              </w:rPr>
              <w:t>1、理财产品不可作质押贷款，不可转让，不可开具存款证明。</w:t>
            </w:r>
          </w:p>
          <w:p w14:paraId="274817EC">
            <w:pPr>
              <w:spacing w:line="300" w:lineRule="exact"/>
              <w:rPr>
                <w:rFonts w:ascii="仿宋" w:hAnsi="仿宋" w:eastAsia="仿宋"/>
                <w:sz w:val="18"/>
                <w:szCs w:val="18"/>
                <w:highlight w:val="none"/>
              </w:rPr>
            </w:pPr>
            <w:r>
              <w:rPr>
                <w:rFonts w:hint="eastAsia" w:ascii="仿宋" w:hAnsi="仿宋" w:eastAsia="仿宋"/>
                <w:sz w:val="18"/>
                <w:szCs w:val="18"/>
                <w:highlight w:val="none"/>
              </w:rPr>
              <w:t>2、本产品信息披露将定期通过大连农商银行网站及各销售网点等渠道发布。</w:t>
            </w:r>
          </w:p>
          <w:p w14:paraId="2D59003C">
            <w:pPr>
              <w:spacing w:line="300" w:lineRule="exact"/>
              <w:rPr>
                <w:rFonts w:hint="eastAsia" w:ascii="仿宋" w:hAnsi="仿宋" w:eastAsia="仿宋"/>
                <w:sz w:val="18"/>
                <w:szCs w:val="18"/>
                <w:highlight w:val="none"/>
                <w:lang w:eastAsia="zh-CN"/>
              </w:rPr>
            </w:pPr>
            <w:r>
              <w:rPr>
                <w:rFonts w:hint="eastAsia" w:ascii="仿宋" w:hAnsi="仿宋" w:eastAsia="仿宋"/>
                <w:sz w:val="18"/>
                <w:szCs w:val="18"/>
                <w:highlight w:val="none"/>
              </w:rPr>
              <w:t>3、本期产品不再单独提供账单</w:t>
            </w:r>
            <w:r>
              <w:rPr>
                <w:rFonts w:hint="eastAsia" w:ascii="仿宋" w:hAnsi="仿宋" w:eastAsia="仿宋"/>
                <w:sz w:val="18"/>
                <w:szCs w:val="18"/>
                <w:highlight w:val="none"/>
                <w:lang w:eastAsia="zh-CN"/>
              </w:rPr>
              <w:t>。</w:t>
            </w:r>
          </w:p>
        </w:tc>
      </w:tr>
      <w:bookmarkEnd w:id="0"/>
      <w:bookmarkEnd w:id="1"/>
    </w:tbl>
    <w:p w14:paraId="6BF4A399">
      <w:pPr>
        <w:rPr>
          <w:rFonts w:ascii="仿宋" w:hAnsi="仿宋" w:eastAsia="仿宋"/>
          <w:b/>
          <w:sz w:val="28"/>
          <w:szCs w:val="28"/>
          <w:highlight w:val="none"/>
        </w:rPr>
      </w:pPr>
      <w:r>
        <w:rPr>
          <w:rFonts w:hint="eastAsia" w:ascii="仿宋" w:hAnsi="仿宋" w:eastAsia="仿宋"/>
          <w:b/>
          <w:sz w:val="28"/>
          <w:szCs w:val="28"/>
          <w:highlight w:val="none"/>
        </w:rPr>
        <w:t>二、投资方向与范围</w:t>
      </w:r>
    </w:p>
    <w:p w14:paraId="20C1C3B3">
      <w:pPr>
        <w:rPr>
          <w:rFonts w:hint="default" w:ascii="仿宋" w:hAnsi="仿宋" w:eastAsia="仿宋"/>
          <w:sz w:val="18"/>
          <w:szCs w:val="18"/>
          <w:highlight w:val="none"/>
          <w:lang w:val="en-US" w:eastAsia="zh-CN"/>
        </w:rPr>
      </w:pPr>
      <w:r>
        <w:rPr>
          <w:rFonts w:hint="eastAsia" w:ascii="仿宋" w:hAnsi="仿宋" w:eastAsia="仿宋"/>
          <w:sz w:val="18"/>
          <w:szCs w:val="18"/>
          <w:highlight w:val="none"/>
          <w:lang w:val="en-US" w:eastAsia="zh-CN"/>
        </w:rPr>
        <w:t>（一）投资方向与范围</w:t>
      </w:r>
    </w:p>
    <w:p w14:paraId="7BD2AFEE">
      <w:pPr>
        <w:rPr>
          <w:rFonts w:hint="eastAsia" w:ascii="仿宋" w:hAnsi="仿宋" w:eastAsia="仿宋"/>
          <w:sz w:val="18"/>
          <w:szCs w:val="18"/>
          <w:highlight w:val="none"/>
        </w:rPr>
      </w:pPr>
      <w:r>
        <w:rPr>
          <w:rFonts w:hint="eastAsia" w:ascii="仿宋" w:hAnsi="仿宋" w:eastAsia="仿宋"/>
          <w:sz w:val="18"/>
          <w:szCs w:val="18"/>
          <w:highlight w:val="none"/>
        </w:rPr>
        <w:t>本理财资金由大连农商银行募集资金后，直接或通过资产管理计划间接投资于银行间市场和交易所市场的标准化金融资产（包括但不限于国债、地方政府债、铁道债、金融债、央行票据以及企业债、公司债、资产支持证券、银行间市场交易商协会注册发行的各类债务融资工具等）；拆借、债券回购、同业存款、同业存单、大额存单、货币市场基金等货币市场工具；其他法律法规允许或监管部门批准的具备固定收益特征的债权资产（包括但不限于同业借款、券商收益凭证、银登中心的信贷资产流转和收益权转让相关产品、北金所债券融资计划、保险债权投资计划等）；投资前述资产的资产管理产品（包括但不限于证券投资基金、信托公司信托计划、证券公司及其资产管理公司资产管理计划、保险公司资产管理产品、期货公司资产管理计划等）。</w:t>
      </w:r>
    </w:p>
    <w:p w14:paraId="6ACB85A9">
      <w:pPr>
        <w:rPr>
          <w:rFonts w:hint="eastAsia" w:ascii="仿宋" w:hAnsi="仿宋" w:eastAsia="仿宋"/>
          <w:sz w:val="18"/>
          <w:szCs w:val="18"/>
          <w:highlight w:val="none"/>
        </w:rPr>
      </w:pPr>
      <w:r>
        <w:rPr>
          <w:rFonts w:hint="eastAsia" w:ascii="仿宋" w:hAnsi="仿宋" w:eastAsia="仿宋"/>
          <w:sz w:val="18"/>
          <w:szCs w:val="18"/>
          <w:highlight w:val="none"/>
        </w:rPr>
        <w:t>拟投资的资产均严格经过行内审批流程和筛选，达到可投资标准。本产品募集资金将以不低于80%的比例投资于上述资产，杠杆比率不超过200%。理财产品存续期内可能因市场的重大变化导致投资比例暂时超出以上规定区间，为保护投资者利益，大连农商</w:t>
      </w:r>
      <w:r>
        <w:rPr>
          <w:rFonts w:hint="eastAsia" w:ascii="仿宋" w:hAnsi="仿宋" w:eastAsia="仿宋"/>
          <w:sz w:val="18"/>
          <w:szCs w:val="18"/>
          <w:highlight w:val="none"/>
          <w:lang w:val="en-US" w:eastAsia="zh-CN"/>
        </w:rPr>
        <w:t>银</w:t>
      </w:r>
      <w:r>
        <w:rPr>
          <w:rFonts w:hint="eastAsia" w:ascii="仿宋" w:hAnsi="仿宋" w:eastAsia="仿宋"/>
          <w:sz w:val="18"/>
          <w:szCs w:val="18"/>
          <w:highlight w:val="none"/>
        </w:rPr>
        <w:t>行将在15个工作日调整至约定比例，并在大连农商</w:t>
      </w:r>
      <w:r>
        <w:rPr>
          <w:rFonts w:hint="eastAsia" w:ascii="仿宋" w:hAnsi="仿宋" w:eastAsia="仿宋"/>
          <w:sz w:val="18"/>
          <w:szCs w:val="18"/>
          <w:highlight w:val="none"/>
          <w:lang w:val="en-US" w:eastAsia="zh-CN"/>
        </w:rPr>
        <w:t>银</w:t>
      </w:r>
      <w:r>
        <w:rPr>
          <w:rFonts w:hint="eastAsia" w:ascii="仿宋" w:hAnsi="仿宋" w:eastAsia="仿宋"/>
          <w:sz w:val="18"/>
          <w:szCs w:val="18"/>
          <w:highlight w:val="none"/>
        </w:rPr>
        <w:t>行网站及销售渠道发布公告。</w:t>
      </w:r>
    </w:p>
    <w:p w14:paraId="2847F687">
      <w:pPr>
        <w:rPr>
          <w:rFonts w:hint="default" w:ascii="仿宋" w:hAnsi="仿宋" w:eastAsia="仿宋"/>
          <w:sz w:val="18"/>
          <w:szCs w:val="18"/>
          <w:highlight w:val="none"/>
          <w:lang w:val="en-US"/>
        </w:rPr>
      </w:pPr>
      <w:r>
        <w:rPr>
          <w:rFonts w:hint="eastAsia" w:ascii="仿宋" w:hAnsi="仿宋" w:eastAsia="仿宋"/>
          <w:sz w:val="18"/>
          <w:szCs w:val="18"/>
          <w:highlight w:val="none"/>
          <w:lang w:val="en-US" w:eastAsia="zh-CN"/>
        </w:rPr>
        <w:t>（二）风险评估与管理</w:t>
      </w:r>
    </w:p>
    <w:p w14:paraId="11B54C34">
      <w:pPr>
        <w:rPr>
          <w:rFonts w:hint="eastAsia" w:ascii="仿宋" w:hAnsi="仿宋" w:eastAsia="仿宋" w:cs="Times New Roman"/>
          <w:sz w:val="18"/>
          <w:szCs w:val="18"/>
          <w:highlight w:val="none"/>
        </w:rPr>
      </w:pPr>
      <w:r>
        <w:rPr>
          <w:rFonts w:hint="eastAsia" w:ascii="仿宋" w:hAnsi="仿宋" w:eastAsia="仿宋" w:cs="Times New Roman"/>
          <w:sz w:val="18"/>
          <w:szCs w:val="18"/>
          <w:highlight w:val="none"/>
          <w:lang w:val="en-US" w:eastAsia="zh-CN"/>
        </w:rPr>
        <w:t xml:space="preserve">投资于上述市场和资产，可能面临包括但不限于如下风险： </w:t>
      </w:r>
    </w:p>
    <w:p w14:paraId="20048AAE">
      <w:pPr>
        <w:rPr>
          <w:rFonts w:hint="eastAsia" w:ascii="仿宋" w:hAnsi="仿宋" w:eastAsia="仿宋" w:cs="Times New Roman"/>
          <w:sz w:val="18"/>
          <w:szCs w:val="18"/>
          <w:highlight w:val="none"/>
        </w:rPr>
      </w:pPr>
      <w:r>
        <w:rPr>
          <w:rFonts w:hint="eastAsia" w:ascii="仿宋" w:hAnsi="仿宋" w:eastAsia="仿宋" w:cs="Times New Roman"/>
          <w:sz w:val="18"/>
          <w:szCs w:val="18"/>
          <w:highlight w:val="none"/>
          <w:lang w:val="en-US" w:eastAsia="zh-CN"/>
        </w:rPr>
        <w:t xml:space="preserve">政策风险：理财产品在运作过程中，由于国家宏观政策以及市场相关法律法规、监管规定发生变化，导致产品的发行、投资、兑付等流程受到影响，进而影响产品的投资运作和收益的风险。 </w:t>
      </w:r>
    </w:p>
    <w:p w14:paraId="5980F09F">
      <w:pPr>
        <w:rPr>
          <w:rFonts w:hint="eastAsia" w:ascii="仿宋" w:hAnsi="仿宋" w:eastAsia="仿宋" w:cs="Times New Roman"/>
          <w:sz w:val="18"/>
          <w:szCs w:val="18"/>
          <w:highlight w:val="none"/>
        </w:rPr>
      </w:pPr>
      <w:r>
        <w:rPr>
          <w:rFonts w:hint="eastAsia" w:ascii="仿宋" w:hAnsi="仿宋" w:eastAsia="仿宋" w:cs="Times New Roman"/>
          <w:sz w:val="18"/>
          <w:szCs w:val="18"/>
          <w:highlight w:val="none"/>
          <w:lang w:val="en-US" w:eastAsia="zh-CN"/>
        </w:rPr>
        <w:t xml:space="preserve">市场风险：理财产品在运作过程中，由于市场变化造成产品所投资产价格波动、从而影响理财产品收益，可能导致投资者的本金及收益遭受损失的风险。 </w:t>
      </w:r>
    </w:p>
    <w:p w14:paraId="09448E01">
      <w:pPr>
        <w:rPr>
          <w:rFonts w:hint="eastAsia" w:ascii="仿宋" w:hAnsi="仿宋" w:eastAsia="仿宋" w:cs="Times New Roman"/>
          <w:sz w:val="18"/>
          <w:szCs w:val="18"/>
          <w:highlight w:val="none"/>
        </w:rPr>
      </w:pPr>
      <w:r>
        <w:rPr>
          <w:rFonts w:hint="eastAsia" w:ascii="仿宋" w:hAnsi="仿宋" w:eastAsia="仿宋" w:cs="Times New Roman"/>
          <w:sz w:val="18"/>
          <w:szCs w:val="18"/>
          <w:highlight w:val="none"/>
          <w:lang w:val="en-US" w:eastAsia="zh-CN"/>
        </w:rPr>
        <w:t xml:space="preserve">信用风险：理财产品所投资产的相关债务人或关联责任人（包括但不限于担保人）等信用状况恶化、不能如期履约的风险。 </w:t>
      </w:r>
    </w:p>
    <w:p w14:paraId="2FA5A9F2">
      <w:pPr>
        <w:rPr>
          <w:rFonts w:hint="eastAsia" w:ascii="仿宋" w:hAnsi="仿宋" w:eastAsia="仿宋" w:cs="Times New Roman"/>
          <w:sz w:val="18"/>
          <w:szCs w:val="18"/>
          <w:highlight w:val="none"/>
          <w:lang w:val="en-US" w:eastAsia="zh-CN"/>
        </w:rPr>
      </w:pPr>
      <w:r>
        <w:rPr>
          <w:rFonts w:hint="eastAsia" w:ascii="仿宋" w:hAnsi="仿宋" w:eastAsia="仿宋" w:cs="Times New Roman"/>
          <w:sz w:val="18"/>
          <w:szCs w:val="18"/>
          <w:highlight w:val="none"/>
          <w:lang w:val="en-US" w:eastAsia="zh-CN"/>
        </w:rPr>
        <w:t xml:space="preserve">流动性风险：在特定市场环境下，理财产品所投资的上述部分市场或资产可能出现流动性较差的情况，导致理财产品存在无法通过变现资产等途径以合理成本及时获得充足资金，用于满足投资者赎回需求、履行其他支付义务的风险。针对封闭式理财产品，在存续期内如果您产生流动性需求，可能面临理财产品不能随时变现、持有期与资金需求日不匹配的流动性风险。针对开放式产品，投资者只能在开放期的交易时间内进行申购、赎回，开放期内若发生巨额赎回，投资者也将面临不能及时赎回理财产品的流动性风险。 </w:t>
      </w:r>
    </w:p>
    <w:p w14:paraId="53BE289D">
      <w:pPr>
        <w:rPr>
          <w:rFonts w:hint="eastAsia" w:ascii="仿宋" w:hAnsi="仿宋" w:eastAsia="仿宋" w:cs="Times New Roman"/>
          <w:sz w:val="18"/>
          <w:szCs w:val="18"/>
          <w:highlight w:val="none"/>
          <w:lang w:val="en-US" w:eastAsia="zh-CN"/>
        </w:rPr>
      </w:pPr>
      <w:r>
        <w:rPr>
          <w:rFonts w:hint="eastAsia" w:ascii="仿宋" w:hAnsi="仿宋" w:eastAsia="仿宋"/>
          <w:color w:val="000000"/>
          <w:sz w:val="18"/>
          <w:szCs w:val="18"/>
          <w:highlight w:val="none"/>
        </w:rPr>
        <w:t>操作风险：如产品管理人由于内部作业、人员管理、系统操作及事务处理不当或失误等，可能导致本理财产品的本金及收益遭受损失。</w:t>
      </w:r>
    </w:p>
    <w:p w14:paraId="6D6EF65B">
      <w:pPr>
        <w:rPr>
          <w:rFonts w:hint="eastAsia" w:ascii="仿宋" w:hAnsi="仿宋" w:eastAsia="仿宋" w:cs="Times New Roman"/>
          <w:sz w:val="18"/>
          <w:szCs w:val="18"/>
          <w:highlight w:val="none"/>
        </w:rPr>
      </w:pPr>
      <w:r>
        <w:rPr>
          <w:rFonts w:hint="eastAsia" w:ascii="仿宋" w:hAnsi="仿宋" w:eastAsia="仿宋" w:cs="Times New Roman"/>
          <w:sz w:val="18"/>
          <w:szCs w:val="18"/>
          <w:highlight w:val="none"/>
          <w:lang w:val="en-US" w:eastAsia="zh-CN"/>
        </w:rPr>
        <w:t xml:space="preserve">提前终止风险：为保护投资者权益，在本产品存续期间产品管理人有权根据本产品说明书约定的情形提前终止本产品。投资者可能面临不能按预期期限取得投资收益的风险以及再投资风险。 </w:t>
      </w:r>
    </w:p>
    <w:p w14:paraId="4F151098">
      <w:pPr>
        <w:rPr>
          <w:rFonts w:hint="eastAsia" w:ascii="仿宋" w:hAnsi="仿宋" w:eastAsia="仿宋" w:cs="Times New Roman"/>
          <w:sz w:val="18"/>
          <w:szCs w:val="18"/>
          <w:highlight w:val="none"/>
        </w:rPr>
      </w:pPr>
      <w:r>
        <w:rPr>
          <w:rFonts w:hint="eastAsia" w:ascii="仿宋" w:hAnsi="仿宋" w:eastAsia="仿宋" w:cs="Times New Roman"/>
          <w:sz w:val="18"/>
          <w:szCs w:val="18"/>
          <w:highlight w:val="none"/>
          <w:lang w:val="en-US" w:eastAsia="zh-CN"/>
        </w:rPr>
        <w:t xml:space="preserve">以上风险仅为列举性质，详见产品风险揭示书。风险管理措施如下： </w:t>
      </w:r>
    </w:p>
    <w:p w14:paraId="36208332">
      <w:pPr>
        <w:rPr>
          <w:rFonts w:hint="eastAsia" w:ascii="仿宋" w:hAnsi="仿宋" w:eastAsia="仿宋" w:cs="Times New Roman"/>
          <w:sz w:val="18"/>
          <w:szCs w:val="18"/>
          <w:highlight w:val="none"/>
          <w:lang w:val="en-US" w:eastAsia="zh-CN"/>
        </w:rPr>
      </w:pPr>
      <w:r>
        <w:rPr>
          <w:rFonts w:hint="eastAsia" w:ascii="仿宋" w:hAnsi="仿宋" w:eastAsia="仿宋" w:cs="Times New Roman"/>
          <w:sz w:val="18"/>
          <w:szCs w:val="18"/>
          <w:highlight w:val="none"/>
          <w:lang w:val="en-US" w:eastAsia="zh-CN"/>
        </w:rPr>
        <w:t xml:space="preserve">1、信用风险管理 </w:t>
      </w:r>
    </w:p>
    <w:p w14:paraId="09D26F94">
      <w:pPr>
        <w:rPr>
          <w:rFonts w:hint="eastAsia" w:ascii="仿宋" w:hAnsi="仿宋" w:eastAsia="仿宋" w:cs="Times New Roman"/>
          <w:sz w:val="18"/>
          <w:szCs w:val="18"/>
          <w:highlight w:val="none"/>
          <w:lang w:val="en-US" w:eastAsia="zh-CN"/>
        </w:rPr>
      </w:pPr>
      <w:r>
        <w:rPr>
          <w:rFonts w:hint="eastAsia" w:ascii="仿宋" w:hAnsi="仿宋" w:eastAsia="仿宋" w:cs="Times New Roman"/>
          <w:sz w:val="18"/>
          <w:szCs w:val="18"/>
          <w:highlight w:val="none"/>
          <w:lang w:val="en-US" w:eastAsia="zh-CN"/>
        </w:rPr>
        <w:t xml:space="preserve">大连农商银行制定了一系列有效的风险控制制度，严格执行主体准入标准，实施投资集中度管控和分散化投资策略，制定常态化投后跟踪机制，建立和完善对风险的事前防范、事中控制、事后监督的管理机制。 </w:t>
      </w:r>
    </w:p>
    <w:p w14:paraId="56FDB57D">
      <w:pPr>
        <w:rPr>
          <w:rFonts w:hint="eastAsia" w:ascii="仿宋" w:hAnsi="仿宋" w:eastAsia="仿宋" w:cs="Times New Roman"/>
          <w:sz w:val="18"/>
          <w:szCs w:val="18"/>
          <w:highlight w:val="none"/>
          <w:lang w:val="en-US" w:eastAsia="zh-CN"/>
        </w:rPr>
      </w:pPr>
      <w:r>
        <w:rPr>
          <w:rFonts w:hint="eastAsia" w:ascii="仿宋" w:hAnsi="仿宋" w:eastAsia="仿宋" w:cs="Times New Roman"/>
          <w:sz w:val="18"/>
          <w:szCs w:val="18"/>
          <w:highlight w:val="none"/>
          <w:lang w:val="en-US" w:eastAsia="zh-CN"/>
        </w:rPr>
        <w:t xml:space="preserve">2、市场风险管理 </w:t>
      </w:r>
    </w:p>
    <w:p w14:paraId="262CD835">
      <w:pPr>
        <w:rPr>
          <w:rFonts w:hint="eastAsia" w:ascii="仿宋" w:hAnsi="仿宋" w:eastAsia="仿宋" w:cs="Times New Roman"/>
          <w:sz w:val="18"/>
          <w:szCs w:val="18"/>
          <w:highlight w:val="none"/>
          <w:lang w:val="en-US" w:eastAsia="zh-CN"/>
        </w:rPr>
      </w:pPr>
      <w:r>
        <w:rPr>
          <w:rFonts w:hint="eastAsia" w:ascii="仿宋" w:hAnsi="仿宋" w:eastAsia="仿宋" w:cs="Times New Roman"/>
          <w:sz w:val="18"/>
          <w:szCs w:val="18"/>
          <w:highlight w:val="none"/>
          <w:lang w:val="en-US" w:eastAsia="zh-CN"/>
        </w:rPr>
        <w:t xml:space="preserve">大连农商银行主要通过对国内外宏观经济走势及各项宏观经济政策等要素的分析来把握市场走势和选取投资品种，定期开展压力测试，优化投资策略，注重风险控制，采取有效措施防范和控制风险。 </w:t>
      </w:r>
    </w:p>
    <w:p w14:paraId="4006F5B9">
      <w:pPr>
        <w:rPr>
          <w:rFonts w:hint="eastAsia" w:ascii="仿宋" w:hAnsi="仿宋" w:eastAsia="仿宋" w:cs="Times New Roman"/>
          <w:sz w:val="18"/>
          <w:szCs w:val="18"/>
          <w:highlight w:val="none"/>
          <w:lang w:val="en-US" w:eastAsia="zh-CN"/>
        </w:rPr>
      </w:pPr>
      <w:r>
        <w:rPr>
          <w:rFonts w:hint="eastAsia" w:ascii="仿宋" w:hAnsi="仿宋" w:eastAsia="仿宋" w:cs="Times New Roman"/>
          <w:sz w:val="18"/>
          <w:szCs w:val="18"/>
          <w:highlight w:val="none"/>
          <w:lang w:val="en-US" w:eastAsia="zh-CN"/>
        </w:rPr>
        <w:t>3、流动性风险管理</w:t>
      </w:r>
    </w:p>
    <w:p w14:paraId="06ECD93D">
      <w:pPr>
        <w:rPr>
          <w:rFonts w:hint="eastAsia" w:ascii="仿宋" w:hAnsi="仿宋" w:eastAsia="仿宋" w:cs="Times New Roman"/>
          <w:sz w:val="18"/>
          <w:szCs w:val="18"/>
          <w:highlight w:val="none"/>
          <w:lang w:val="en-US" w:eastAsia="zh-CN"/>
        </w:rPr>
      </w:pPr>
      <w:r>
        <w:rPr>
          <w:rFonts w:hint="eastAsia" w:ascii="仿宋" w:hAnsi="仿宋" w:eastAsia="仿宋" w:cs="Times New Roman"/>
          <w:sz w:val="18"/>
          <w:szCs w:val="18"/>
          <w:highlight w:val="none"/>
          <w:lang w:val="en-US" w:eastAsia="zh-CN"/>
        </w:rPr>
        <w:t xml:space="preserve">在本理财产品投资运作过程中，大连农商银行注重优质流动性资产配置，将严格控制流动性较差的金融资产的配置比例，并对持仓资产组合的流动性进行监控，并明确产品的申购/赎回规则，对资产的流动性进行研究和监控，合理搭配不同期限、不同流动性资产，防范流动性风险。 </w:t>
      </w:r>
    </w:p>
    <w:p w14:paraId="66D829D2">
      <w:pPr>
        <w:rPr>
          <w:rFonts w:hint="eastAsia" w:ascii="仿宋" w:hAnsi="仿宋" w:eastAsia="仿宋" w:cs="Times New Roman"/>
          <w:sz w:val="18"/>
          <w:szCs w:val="18"/>
          <w:highlight w:val="none"/>
          <w:lang w:val="en-US" w:eastAsia="zh-CN"/>
        </w:rPr>
      </w:pPr>
      <w:r>
        <w:rPr>
          <w:rFonts w:hint="eastAsia" w:ascii="仿宋" w:hAnsi="仿宋" w:eastAsia="仿宋" w:cs="Times New Roman"/>
          <w:sz w:val="18"/>
          <w:szCs w:val="18"/>
          <w:highlight w:val="none"/>
          <w:lang w:val="en-US" w:eastAsia="zh-CN"/>
        </w:rPr>
        <w:t xml:space="preserve">4、操作风险管理 </w:t>
      </w:r>
    </w:p>
    <w:p w14:paraId="36F08CB8">
      <w:pPr>
        <w:rPr>
          <w:rFonts w:hint="eastAsia" w:ascii="仿宋" w:hAnsi="仿宋" w:eastAsia="仿宋" w:cs="Times New Roman"/>
          <w:sz w:val="18"/>
          <w:szCs w:val="18"/>
          <w:highlight w:val="none"/>
          <w:lang w:val="en-US" w:eastAsia="zh-CN"/>
        </w:rPr>
      </w:pPr>
      <w:r>
        <w:rPr>
          <w:rFonts w:hint="eastAsia" w:ascii="仿宋" w:hAnsi="仿宋" w:eastAsia="仿宋" w:cs="Times New Roman"/>
          <w:sz w:val="18"/>
          <w:szCs w:val="18"/>
          <w:highlight w:val="none"/>
          <w:lang w:val="en-US" w:eastAsia="zh-CN"/>
        </w:rPr>
        <w:t xml:space="preserve">大连农商银行将通过严密的风险管理体系严格控制操作风险，最大可能地保护投资者利益。针对业务办理、交易运作、系统运行、估值核算等环节，落实全流程管控，规范业务流程，严格执行内部审批机制，定期开展内部检查，强化职业道德教育，及时排查操作隐患，避免操作风险的发生。 </w:t>
      </w:r>
    </w:p>
    <w:p w14:paraId="3CDCAF8B">
      <w:pPr>
        <w:rPr>
          <w:rFonts w:hint="eastAsia" w:ascii="仿宋" w:hAnsi="仿宋" w:eastAsia="仿宋" w:cs="Times New Roman"/>
          <w:sz w:val="18"/>
          <w:szCs w:val="18"/>
          <w:highlight w:val="none"/>
          <w:lang w:val="en-US" w:eastAsia="zh-CN"/>
        </w:rPr>
      </w:pPr>
      <w:r>
        <w:rPr>
          <w:rFonts w:hint="eastAsia" w:ascii="仿宋" w:hAnsi="仿宋" w:eastAsia="仿宋" w:cs="Times New Roman"/>
          <w:sz w:val="18"/>
          <w:szCs w:val="18"/>
          <w:highlight w:val="none"/>
          <w:lang w:val="en-US" w:eastAsia="zh-CN"/>
        </w:rPr>
        <w:t xml:space="preserve">5、其他风险管理 </w:t>
      </w:r>
    </w:p>
    <w:p w14:paraId="66D04AA4">
      <w:pPr>
        <w:rPr>
          <w:rFonts w:hint="eastAsia" w:ascii="仿宋" w:hAnsi="仿宋" w:eastAsia="仿宋" w:cs="Times New Roman"/>
          <w:sz w:val="18"/>
          <w:szCs w:val="18"/>
          <w:highlight w:val="none"/>
          <w:lang w:val="en-US" w:eastAsia="zh-CN"/>
        </w:rPr>
      </w:pPr>
      <w:r>
        <w:rPr>
          <w:rFonts w:hint="eastAsia" w:ascii="仿宋" w:hAnsi="仿宋" w:eastAsia="仿宋" w:cs="Times New Roman"/>
          <w:sz w:val="18"/>
          <w:szCs w:val="18"/>
          <w:highlight w:val="none"/>
          <w:lang w:val="en-US" w:eastAsia="zh-CN"/>
        </w:rPr>
        <w:t>针对政策风险、不可抗力风险等其他风险，大连农商银行将密切跟踪宏观经济、监管政策及市场环境变化，审慎调整投资运作策略；如遇不可抗力、重大外部事件等情形，将按照法律法规及产品合同约定妥善处置，并及时向投资者进行信息披露。</w:t>
      </w:r>
    </w:p>
    <w:p w14:paraId="5007B914">
      <w:pPr>
        <w:rPr>
          <w:rFonts w:ascii="仿宋" w:hAnsi="仿宋" w:eastAsia="仿宋"/>
          <w:b/>
          <w:sz w:val="28"/>
          <w:szCs w:val="28"/>
          <w:highlight w:val="none"/>
        </w:rPr>
      </w:pPr>
      <w:r>
        <w:rPr>
          <w:rFonts w:hint="eastAsia" w:ascii="仿宋" w:hAnsi="仿宋" w:eastAsia="仿宋"/>
          <w:b/>
          <w:sz w:val="28"/>
          <w:szCs w:val="28"/>
          <w:highlight w:val="none"/>
        </w:rPr>
        <w:t>三、产品购买及赎回</w:t>
      </w:r>
    </w:p>
    <w:p w14:paraId="3588AE72">
      <w:pPr>
        <w:rPr>
          <w:rFonts w:ascii="仿宋" w:hAnsi="仿宋" w:eastAsia="仿宋"/>
          <w:sz w:val="18"/>
          <w:szCs w:val="18"/>
          <w:highlight w:val="none"/>
        </w:rPr>
      </w:pPr>
      <w:r>
        <w:rPr>
          <w:rFonts w:hint="eastAsia" w:ascii="仿宋" w:hAnsi="仿宋" w:eastAsia="仿宋"/>
          <w:sz w:val="18"/>
          <w:szCs w:val="18"/>
          <w:highlight w:val="none"/>
        </w:rPr>
        <w:t>1、认购及赎回的原则：</w:t>
      </w:r>
    </w:p>
    <w:p w14:paraId="1E532096">
      <w:pPr>
        <w:rPr>
          <w:rFonts w:ascii="仿宋" w:hAnsi="仿宋" w:eastAsia="仿宋"/>
          <w:sz w:val="18"/>
          <w:szCs w:val="18"/>
          <w:highlight w:val="none"/>
        </w:rPr>
      </w:pPr>
      <w:r>
        <w:rPr>
          <w:rFonts w:hint="eastAsia" w:ascii="仿宋" w:hAnsi="仿宋" w:eastAsia="仿宋"/>
          <w:sz w:val="18"/>
          <w:szCs w:val="18"/>
          <w:highlight w:val="none"/>
        </w:rPr>
        <w:t>（1）</w:t>
      </w:r>
      <w:r>
        <w:rPr>
          <w:rFonts w:ascii="仿宋" w:hAnsi="仿宋" w:eastAsia="仿宋"/>
          <w:sz w:val="18"/>
          <w:szCs w:val="18"/>
          <w:highlight w:val="none"/>
        </w:rPr>
        <w:t>理财</w:t>
      </w:r>
      <w:r>
        <w:rPr>
          <w:rFonts w:hint="eastAsia" w:ascii="仿宋" w:hAnsi="仿宋" w:eastAsia="仿宋"/>
          <w:sz w:val="18"/>
          <w:szCs w:val="18"/>
          <w:highlight w:val="none"/>
        </w:rPr>
        <w:t>产品</w:t>
      </w:r>
      <w:r>
        <w:rPr>
          <w:rFonts w:ascii="仿宋" w:hAnsi="仿宋" w:eastAsia="仿宋"/>
          <w:sz w:val="18"/>
          <w:szCs w:val="18"/>
          <w:highlight w:val="none"/>
        </w:rPr>
        <w:t>份额净值：指理财</w:t>
      </w:r>
      <w:r>
        <w:rPr>
          <w:rFonts w:hint="eastAsia" w:ascii="仿宋" w:hAnsi="仿宋" w:eastAsia="仿宋"/>
          <w:sz w:val="18"/>
          <w:szCs w:val="18"/>
          <w:highlight w:val="none"/>
          <w:lang w:val="en-US" w:eastAsia="zh-CN"/>
        </w:rPr>
        <w:t>产品</w:t>
      </w:r>
      <w:r>
        <w:rPr>
          <w:rFonts w:ascii="仿宋" w:hAnsi="仿宋" w:eastAsia="仿宋"/>
          <w:sz w:val="18"/>
          <w:szCs w:val="18"/>
          <w:highlight w:val="none"/>
        </w:rPr>
        <w:t>份额的单位净值，即每1份理财计划份额以人民币计价的价格。</w:t>
      </w:r>
    </w:p>
    <w:p w14:paraId="548F7115">
      <w:pPr>
        <w:rPr>
          <w:rFonts w:ascii="仿宋" w:hAnsi="仿宋" w:eastAsia="仿宋"/>
          <w:sz w:val="18"/>
          <w:szCs w:val="18"/>
          <w:highlight w:val="none"/>
        </w:rPr>
      </w:pPr>
      <w:r>
        <w:rPr>
          <w:rFonts w:hint="eastAsia" w:ascii="仿宋" w:hAnsi="仿宋" w:eastAsia="仿宋"/>
          <w:sz w:val="18"/>
          <w:szCs w:val="18"/>
          <w:highlight w:val="none"/>
        </w:rPr>
        <w:t>（2）“金额认购、份额赎回”原则，即认购以金额申请，赎回以份额申请。</w:t>
      </w:r>
    </w:p>
    <w:p w14:paraId="744EF586">
      <w:pPr>
        <w:rPr>
          <w:rFonts w:ascii="仿宋" w:hAnsi="仿宋" w:eastAsia="仿宋"/>
          <w:sz w:val="18"/>
          <w:szCs w:val="18"/>
          <w:highlight w:val="none"/>
        </w:rPr>
      </w:pPr>
      <w:r>
        <w:rPr>
          <w:rFonts w:hint="eastAsia" w:ascii="仿宋" w:hAnsi="仿宋" w:eastAsia="仿宋"/>
          <w:sz w:val="18"/>
          <w:szCs w:val="18"/>
          <w:highlight w:val="none"/>
        </w:rPr>
        <w:t>（3）当日的认购申请，在大连农商</w:t>
      </w:r>
      <w:r>
        <w:rPr>
          <w:rFonts w:hint="eastAsia" w:ascii="仿宋" w:hAnsi="仿宋" w:eastAsia="仿宋"/>
          <w:sz w:val="18"/>
          <w:szCs w:val="18"/>
          <w:highlight w:val="none"/>
          <w:lang w:val="en-US" w:eastAsia="zh-CN"/>
        </w:rPr>
        <w:t>银</w:t>
      </w:r>
      <w:r>
        <w:rPr>
          <w:rFonts w:hint="eastAsia" w:ascii="仿宋" w:hAnsi="仿宋" w:eastAsia="仿宋"/>
          <w:sz w:val="18"/>
          <w:szCs w:val="18"/>
          <w:highlight w:val="none"/>
        </w:rPr>
        <w:t>行确认前的交易时段，认购申请允许撤销。</w:t>
      </w:r>
    </w:p>
    <w:p w14:paraId="11A0D024">
      <w:pPr>
        <w:rPr>
          <w:rFonts w:ascii="仿宋" w:hAnsi="仿宋" w:eastAsia="仿宋"/>
          <w:sz w:val="18"/>
          <w:szCs w:val="18"/>
          <w:highlight w:val="none"/>
        </w:rPr>
      </w:pPr>
      <w:r>
        <w:rPr>
          <w:rFonts w:hint="eastAsia" w:ascii="仿宋" w:hAnsi="仿宋" w:eastAsia="仿宋"/>
          <w:sz w:val="18"/>
          <w:szCs w:val="18"/>
          <w:highlight w:val="none"/>
        </w:rPr>
        <w:t>（4）客户在提交认购申请时，须备足认购资金。</w:t>
      </w:r>
    </w:p>
    <w:p w14:paraId="27277C06">
      <w:pPr>
        <w:rPr>
          <w:rFonts w:ascii="仿宋" w:hAnsi="仿宋" w:eastAsia="仿宋"/>
          <w:sz w:val="18"/>
          <w:szCs w:val="18"/>
          <w:highlight w:val="none"/>
        </w:rPr>
      </w:pPr>
      <w:r>
        <w:rPr>
          <w:rFonts w:hint="eastAsia" w:ascii="仿宋" w:hAnsi="仿宋" w:eastAsia="仿宋"/>
          <w:sz w:val="18"/>
          <w:szCs w:val="18"/>
          <w:highlight w:val="none"/>
        </w:rPr>
        <w:t>（5）客户提交赎回申请时，必须全部赎回所持有的理财份额。</w:t>
      </w:r>
    </w:p>
    <w:p w14:paraId="43B613EC">
      <w:pPr>
        <w:rPr>
          <w:rFonts w:ascii="仿宋" w:hAnsi="仿宋" w:eastAsia="仿宋"/>
          <w:sz w:val="18"/>
          <w:szCs w:val="18"/>
          <w:highlight w:val="none"/>
        </w:rPr>
      </w:pPr>
      <w:r>
        <w:rPr>
          <w:rFonts w:hint="eastAsia" w:ascii="仿宋" w:hAnsi="仿宋" w:eastAsia="仿宋"/>
          <w:sz w:val="18"/>
          <w:szCs w:val="18"/>
          <w:highlight w:val="none"/>
        </w:rPr>
        <w:t>（6）大连农商银行受理认购申请并不表示对该申请成功的确认，而仅代表大连农商银行收到了认购申请，申请是否有效应以大连农商银行的确认为准。投资者应在本理财产品成立后及时查询最终成交确认情况和份额。</w:t>
      </w:r>
    </w:p>
    <w:p w14:paraId="64AE6044">
      <w:pPr>
        <w:rPr>
          <w:rFonts w:ascii="仿宋" w:hAnsi="仿宋" w:eastAsia="仿宋"/>
          <w:sz w:val="18"/>
          <w:szCs w:val="18"/>
          <w:highlight w:val="none"/>
        </w:rPr>
      </w:pPr>
      <w:r>
        <w:rPr>
          <w:rFonts w:hint="eastAsia" w:ascii="仿宋" w:hAnsi="仿宋" w:eastAsia="仿宋"/>
          <w:sz w:val="18"/>
          <w:szCs w:val="18"/>
          <w:highlight w:val="none"/>
        </w:rPr>
        <w:t>（7）大连农商银行按照先到先得原则受理客户申请，如发生以下“6、拒绝或暂停接受认购、赎回申请的情形”时，大连农商银行有权拒绝客户的申请。</w:t>
      </w:r>
    </w:p>
    <w:p w14:paraId="143BAF6C">
      <w:pPr>
        <w:rPr>
          <w:rFonts w:ascii="仿宋" w:hAnsi="仿宋" w:eastAsia="仿宋"/>
          <w:sz w:val="18"/>
          <w:szCs w:val="18"/>
          <w:highlight w:val="none"/>
        </w:rPr>
      </w:pPr>
      <w:r>
        <w:rPr>
          <w:rFonts w:hint="eastAsia" w:ascii="仿宋" w:hAnsi="仿宋" w:eastAsia="仿宋"/>
          <w:sz w:val="18"/>
          <w:szCs w:val="18"/>
          <w:highlight w:val="none"/>
        </w:rPr>
        <w:t>（8）大连农商银行在不损害理财产品份额持有人权益的情况下可更改上述原则。大连农商银行最迟于新规则开始实施日前3个工作日在其网站及营业网点公告。投资者在公告后5个工作日内未提出赎回申请的视同无异议，继续持有本理财产品。</w:t>
      </w:r>
    </w:p>
    <w:p w14:paraId="4EFCDB17">
      <w:pPr>
        <w:rPr>
          <w:rFonts w:ascii="仿宋" w:hAnsi="仿宋" w:eastAsia="仿宋"/>
          <w:sz w:val="18"/>
          <w:szCs w:val="18"/>
          <w:highlight w:val="none"/>
        </w:rPr>
      </w:pPr>
      <w:r>
        <w:rPr>
          <w:rFonts w:hint="eastAsia" w:ascii="仿宋" w:hAnsi="仿宋" w:eastAsia="仿宋"/>
          <w:sz w:val="18"/>
          <w:szCs w:val="18"/>
          <w:highlight w:val="none"/>
        </w:rPr>
        <w:t>2、认购、赎回的确认</w:t>
      </w:r>
    </w:p>
    <w:p w14:paraId="275D70B5">
      <w:pPr>
        <w:rPr>
          <w:rFonts w:ascii="仿宋" w:hAnsi="仿宋" w:eastAsia="仿宋"/>
          <w:sz w:val="18"/>
          <w:szCs w:val="18"/>
          <w:highlight w:val="none"/>
        </w:rPr>
      </w:pPr>
      <w:r>
        <w:rPr>
          <w:rFonts w:hint="eastAsia" w:ascii="仿宋" w:hAnsi="仿宋" w:eastAsia="仿宋"/>
          <w:sz w:val="18"/>
          <w:szCs w:val="18"/>
          <w:highlight w:val="none"/>
        </w:rPr>
        <w:t>（1）大连农商银行在产品成立日后第一个工作日登记份额。</w:t>
      </w:r>
    </w:p>
    <w:p w14:paraId="1D02762E">
      <w:pPr>
        <w:rPr>
          <w:rFonts w:ascii="仿宋" w:hAnsi="仿宋" w:eastAsia="仿宋"/>
          <w:sz w:val="18"/>
          <w:szCs w:val="18"/>
          <w:highlight w:val="none"/>
        </w:rPr>
      </w:pPr>
      <w:r>
        <w:rPr>
          <w:rFonts w:hint="eastAsia" w:ascii="仿宋" w:hAnsi="仿宋" w:eastAsia="仿宋"/>
          <w:sz w:val="18"/>
          <w:szCs w:val="18"/>
          <w:highlight w:val="none"/>
        </w:rPr>
        <w:t>（2）认购和赎回的款项支付：大连农商银行在认购、赎回的交易日后第1个工作日为客户登记份额并成功扣减客户账户资金。扣划款项成功后客户认购成功。确认客户赎回成功后，将客户应得的赎回资金于理财到期后3个工作日内划转至客户指定账户。</w:t>
      </w:r>
    </w:p>
    <w:p w14:paraId="3AA1434B">
      <w:pPr>
        <w:rPr>
          <w:rFonts w:ascii="仿宋" w:hAnsi="仿宋" w:eastAsia="仿宋"/>
          <w:sz w:val="18"/>
          <w:szCs w:val="18"/>
          <w:highlight w:val="none"/>
        </w:rPr>
      </w:pPr>
      <w:r>
        <w:rPr>
          <w:rFonts w:hint="eastAsia" w:ascii="仿宋" w:hAnsi="仿宋" w:eastAsia="仿宋"/>
          <w:sz w:val="18"/>
          <w:szCs w:val="18"/>
          <w:highlight w:val="none"/>
        </w:rPr>
        <w:t>3、认购及赎回的金额要求：</w:t>
      </w:r>
    </w:p>
    <w:p w14:paraId="6ADE413C">
      <w:pPr>
        <w:rPr>
          <w:rFonts w:ascii="仿宋" w:hAnsi="仿宋" w:eastAsia="仿宋"/>
          <w:sz w:val="18"/>
          <w:szCs w:val="18"/>
          <w:highlight w:val="none"/>
        </w:rPr>
      </w:pPr>
      <w:r>
        <w:rPr>
          <w:rFonts w:hint="eastAsia" w:ascii="仿宋" w:hAnsi="仿宋" w:eastAsia="仿宋"/>
          <w:sz w:val="18"/>
          <w:szCs w:val="18"/>
          <w:highlight w:val="none"/>
        </w:rPr>
        <w:t>（1）认购资金起点为</w:t>
      </w:r>
      <w:r>
        <w:rPr>
          <w:rFonts w:hint="eastAsia" w:ascii="仿宋" w:hAnsi="仿宋" w:eastAsia="仿宋"/>
          <w:sz w:val="18"/>
          <w:szCs w:val="18"/>
          <w:highlight w:val="none"/>
          <w:u w:val="single"/>
        </w:rPr>
        <w:t>1</w:t>
      </w:r>
      <w:r>
        <w:rPr>
          <w:rFonts w:hint="eastAsia" w:ascii="仿宋" w:hAnsi="仿宋" w:eastAsia="仿宋"/>
          <w:sz w:val="18"/>
          <w:szCs w:val="18"/>
          <w:highlight w:val="none"/>
        </w:rPr>
        <w:t>万元人民币，以</w:t>
      </w:r>
      <w:r>
        <w:rPr>
          <w:rFonts w:hint="eastAsia" w:ascii="仿宋" w:hAnsi="仿宋" w:eastAsia="仿宋"/>
          <w:sz w:val="18"/>
          <w:szCs w:val="18"/>
          <w:highlight w:val="none"/>
          <w:u w:val="single"/>
        </w:rPr>
        <w:t>1</w:t>
      </w:r>
      <w:r>
        <w:rPr>
          <w:rFonts w:hint="eastAsia" w:ascii="仿宋" w:hAnsi="仿宋" w:eastAsia="仿宋"/>
          <w:sz w:val="18"/>
          <w:szCs w:val="18"/>
          <w:highlight w:val="none"/>
        </w:rPr>
        <w:t>万元人民币的整数倍递增。</w:t>
      </w:r>
    </w:p>
    <w:p w14:paraId="530F1A43">
      <w:pPr>
        <w:rPr>
          <w:rFonts w:ascii="仿宋" w:hAnsi="仿宋" w:eastAsia="仿宋"/>
          <w:sz w:val="18"/>
          <w:szCs w:val="18"/>
          <w:highlight w:val="none"/>
        </w:rPr>
      </w:pPr>
      <w:r>
        <w:rPr>
          <w:rFonts w:hint="eastAsia" w:ascii="仿宋" w:hAnsi="仿宋" w:eastAsia="仿宋"/>
          <w:sz w:val="18"/>
          <w:szCs w:val="18"/>
          <w:highlight w:val="none"/>
        </w:rPr>
        <w:t>（2）产品到期后，客户需赎回全部持有份额。</w:t>
      </w:r>
    </w:p>
    <w:p w14:paraId="4EEA9BE4">
      <w:pPr>
        <w:rPr>
          <w:rFonts w:ascii="仿宋" w:hAnsi="仿宋" w:eastAsia="仿宋"/>
          <w:sz w:val="18"/>
          <w:szCs w:val="18"/>
          <w:highlight w:val="none"/>
        </w:rPr>
      </w:pPr>
      <w:r>
        <w:rPr>
          <w:rFonts w:hint="eastAsia" w:ascii="仿宋" w:hAnsi="仿宋" w:eastAsia="仿宋"/>
          <w:sz w:val="18"/>
          <w:szCs w:val="18"/>
          <w:highlight w:val="none"/>
        </w:rPr>
        <w:t>4、认购费用和赎回费用：</w:t>
      </w:r>
    </w:p>
    <w:p w14:paraId="3E57D88C">
      <w:pPr>
        <w:rPr>
          <w:rFonts w:ascii="仿宋" w:hAnsi="仿宋" w:eastAsia="仿宋"/>
          <w:sz w:val="18"/>
          <w:szCs w:val="18"/>
          <w:highlight w:val="none"/>
        </w:rPr>
      </w:pPr>
      <w:r>
        <w:rPr>
          <w:rFonts w:hint="eastAsia" w:ascii="仿宋" w:hAnsi="仿宋" w:eastAsia="仿宋"/>
          <w:sz w:val="18"/>
          <w:szCs w:val="18"/>
          <w:highlight w:val="none"/>
        </w:rPr>
        <w:t>（1）认购费率：本理财产品暂不收取认购费。</w:t>
      </w:r>
    </w:p>
    <w:p w14:paraId="6137BF5F">
      <w:pPr>
        <w:rPr>
          <w:rFonts w:ascii="仿宋" w:hAnsi="仿宋" w:eastAsia="仿宋"/>
          <w:sz w:val="18"/>
          <w:szCs w:val="18"/>
          <w:highlight w:val="none"/>
        </w:rPr>
      </w:pPr>
      <w:r>
        <w:rPr>
          <w:rFonts w:hint="eastAsia" w:ascii="仿宋" w:hAnsi="仿宋" w:eastAsia="仿宋"/>
          <w:sz w:val="18"/>
          <w:szCs w:val="18"/>
          <w:highlight w:val="none"/>
        </w:rPr>
        <w:t>（2）赎回费率：本理财产品暂不收取赎回费。</w:t>
      </w:r>
    </w:p>
    <w:p w14:paraId="609FCC81">
      <w:pPr>
        <w:rPr>
          <w:rFonts w:ascii="仿宋" w:hAnsi="仿宋" w:eastAsia="仿宋"/>
          <w:sz w:val="18"/>
          <w:szCs w:val="18"/>
          <w:highlight w:val="none"/>
        </w:rPr>
      </w:pPr>
      <w:r>
        <w:rPr>
          <w:rFonts w:hint="eastAsia" w:ascii="仿宋" w:hAnsi="仿宋" w:eastAsia="仿宋"/>
          <w:sz w:val="18"/>
          <w:szCs w:val="18"/>
          <w:highlight w:val="none"/>
        </w:rPr>
        <w:t>（3）大连农商银行可以在不违反相关法律、法规以及不违反理财产品协议约定的前提下，在本理财产品协议约定的范围内调整上述费率及/或收取方式，并于新的费率实施前3个工作日在其网站及营业网点公告。</w:t>
      </w:r>
    </w:p>
    <w:p w14:paraId="1CF23AD9">
      <w:pPr>
        <w:rPr>
          <w:rFonts w:ascii="仿宋" w:hAnsi="仿宋" w:eastAsia="仿宋"/>
          <w:sz w:val="18"/>
          <w:szCs w:val="18"/>
          <w:highlight w:val="none"/>
        </w:rPr>
      </w:pPr>
      <w:r>
        <w:rPr>
          <w:rFonts w:hint="eastAsia" w:ascii="仿宋" w:hAnsi="仿宋" w:eastAsia="仿宋"/>
          <w:sz w:val="18"/>
          <w:szCs w:val="18"/>
          <w:highlight w:val="none"/>
        </w:rPr>
        <w:t>5、认购份额、赎回金额、份额净值的计算</w:t>
      </w:r>
    </w:p>
    <w:p w14:paraId="5982C47B">
      <w:pPr>
        <w:rPr>
          <w:rFonts w:ascii="仿宋" w:hAnsi="仿宋" w:eastAsia="仿宋"/>
          <w:sz w:val="18"/>
          <w:szCs w:val="18"/>
          <w:highlight w:val="none"/>
        </w:rPr>
      </w:pPr>
      <w:r>
        <w:rPr>
          <w:rFonts w:hint="eastAsia" w:ascii="仿宋" w:hAnsi="仿宋" w:eastAsia="仿宋"/>
          <w:sz w:val="18"/>
          <w:szCs w:val="18"/>
          <w:highlight w:val="none"/>
        </w:rPr>
        <w:t>（1）产品认购份额的计算</w:t>
      </w:r>
    </w:p>
    <w:p w14:paraId="3A221C54">
      <w:pPr>
        <w:rPr>
          <w:rFonts w:ascii="仿宋" w:hAnsi="仿宋" w:eastAsia="仿宋"/>
          <w:sz w:val="18"/>
          <w:szCs w:val="18"/>
          <w:highlight w:val="none"/>
        </w:rPr>
      </w:pPr>
      <w:r>
        <w:rPr>
          <w:rFonts w:hint="eastAsia" w:ascii="仿宋" w:hAnsi="仿宋" w:eastAsia="仿宋"/>
          <w:sz w:val="18"/>
          <w:szCs w:val="18"/>
          <w:highlight w:val="none"/>
        </w:rPr>
        <w:t>本理财产品在认购时不收取认购费用。</w:t>
      </w:r>
    </w:p>
    <w:p w14:paraId="27AFDD4D">
      <w:pPr>
        <w:rPr>
          <w:rFonts w:ascii="仿宋" w:hAnsi="仿宋" w:eastAsia="仿宋"/>
          <w:sz w:val="18"/>
          <w:szCs w:val="18"/>
          <w:highlight w:val="none"/>
        </w:rPr>
      </w:pPr>
      <w:r>
        <w:rPr>
          <w:rFonts w:hint="eastAsia" w:ascii="仿宋" w:hAnsi="仿宋" w:eastAsia="仿宋"/>
          <w:sz w:val="18"/>
          <w:szCs w:val="18"/>
          <w:highlight w:val="none"/>
        </w:rPr>
        <w:t>认购份额＝认购金额÷理财产品份额净值</w:t>
      </w:r>
    </w:p>
    <w:p w14:paraId="7F410D04">
      <w:pPr>
        <w:rPr>
          <w:rFonts w:ascii="仿宋" w:hAnsi="仿宋" w:eastAsia="仿宋"/>
          <w:sz w:val="18"/>
          <w:szCs w:val="18"/>
          <w:highlight w:val="none"/>
        </w:rPr>
      </w:pPr>
      <w:r>
        <w:rPr>
          <w:rFonts w:hint="eastAsia" w:ascii="仿宋" w:hAnsi="仿宋" w:eastAsia="仿宋"/>
          <w:sz w:val="18"/>
          <w:szCs w:val="18"/>
          <w:highlight w:val="none"/>
        </w:rPr>
        <w:t>例：某客户投资500,000.00元认购本产品，假设理财产品份额净值为1.000000元，则其可得到的认购份额为：认购份数＝500,000.00÷1.000000＝500,000.00份</w:t>
      </w:r>
    </w:p>
    <w:p w14:paraId="6088B260">
      <w:pPr>
        <w:rPr>
          <w:rFonts w:ascii="仿宋" w:hAnsi="仿宋" w:eastAsia="仿宋"/>
          <w:sz w:val="18"/>
          <w:szCs w:val="18"/>
          <w:highlight w:val="none"/>
        </w:rPr>
      </w:pPr>
      <w:r>
        <w:rPr>
          <w:rFonts w:hint="eastAsia" w:ascii="仿宋" w:hAnsi="仿宋" w:eastAsia="仿宋"/>
          <w:sz w:val="18"/>
          <w:szCs w:val="18"/>
          <w:highlight w:val="none"/>
        </w:rPr>
        <w:t>（2）理财产品赎回金额的计算</w:t>
      </w:r>
    </w:p>
    <w:p w14:paraId="7012E784">
      <w:pPr>
        <w:rPr>
          <w:rFonts w:ascii="仿宋" w:hAnsi="仿宋" w:eastAsia="仿宋"/>
          <w:sz w:val="18"/>
          <w:szCs w:val="18"/>
          <w:highlight w:val="none"/>
        </w:rPr>
      </w:pPr>
      <w:r>
        <w:rPr>
          <w:rFonts w:hint="eastAsia" w:ascii="仿宋" w:hAnsi="仿宋" w:eastAsia="仿宋"/>
          <w:sz w:val="18"/>
          <w:szCs w:val="18"/>
          <w:highlight w:val="none"/>
        </w:rPr>
        <w:t>本理财产品采用“份额赎回”方式，计算公式如下：</w:t>
      </w:r>
    </w:p>
    <w:p w14:paraId="7027D8AA">
      <w:pPr>
        <w:rPr>
          <w:rFonts w:ascii="仿宋" w:hAnsi="仿宋" w:eastAsia="仿宋"/>
          <w:sz w:val="18"/>
          <w:szCs w:val="18"/>
          <w:highlight w:val="none"/>
        </w:rPr>
      </w:pPr>
      <w:r>
        <w:rPr>
          <w:rFonts w:hint="eastAsia" w:ascii="仿宋" w:hAnsi="仿宋" w:eastAsia="仿宋"/>
          <w:sz w:val="18"/>
          <w:szCs w:val="18"/>
          <w:highlight w:val="none"/>
        </w:rPr>
        <w:t>赎回金额＝赎回份数×理财产品份额净值（赎回金额保留至小数点后2位，第3位小数点四舍五入。）</w:t>
      </w:r>
    </w:p>
    <w:p w14:paraId="60307E3D">
      <w:pPr>
        <w:rPr>
          <w:rFonts w:ascii="仿宋" w:hAnsi="仿宋" w:eastAsia="仿宋"/>
          <w:sz w:val="18"/>
          <w:szCs w:val="18"/>
          <w:highlight w:val="none"/>
        </w:rPr>
      </w:pPr>
      <w:r>
        <w:rPr>
          <w:rFonts w:hint="eastAsia" w:ascii="仿宋" w:hAnsi="仿宋" w:eastAsia="仿宋"/>
          <w:sz w:val="18"/>
          <w:szCs w:val="18"/>
          <w:highlight w:val="none"/>
        </w:rPr>
        <w:t>例：某客户持有本产品100,000.00份产品份额决定赎回，假设理财产品份额净值是1.100000元，赎回金额＝100,000.00×1.100000＝110,000.00元</w:t>
      </w:r>
    </w:p>
    <w:p w14:paraId="1DF241D5">
      <w:pPr>
        <w:rPr>
          <w:rFonts w:ascii="仿宋" w:hAnsi="仿宋" w:eastAsia="仿宋"/>
          <w:sz w:val="18"/>
          <w:szCs w:val="18"/>
          <w:highlight w:val="none"/>
        </w:rPr>
      </w:pPr>
      <w:r>
        <w:rPr>
          <w:rFonts w:hint="eastAsia" w:ascii="仿宋" w:hAnsi="仿宋" w:eastAsia="仿宋"/>
          <w:sz w:val="18"/>
          <w:szCs w:val="18"/>
          <w:highlight w:val="none"/>
        </w:rPr>
        <w:t>（3）理财产品份额净值的计算</w:t>
      </w:r>
    </w:p>
    <w:p w14:paraId="2660CF20">
      <w:pPr>
        <w:rPr>
          <w:rFonts w:hint="eastAsia" w:ascii="仿宋" w:hAnsi="仿宋" w:eastAsia="仿宋" w:cs="Times New Roman"/>
          <w:sz w:val="18"/>
          <w:szCs w:val="18"/>
          <w:highlight w:val="none"/>
        </w:rPr>
      </w:pPr>
      <w:r>
        <w:rPr>
          <w:rFonts w:hint="eastAsia" w:ascii="仿宋" w:hAnsi="仿宋" w:eastAsia="仿宋" w:cs="Times New Roman"/>
          <w:sz w:val="18"/>
          <w:szCs w:val="18"/>
          <w:highlight w:val="none"/>
        </w:rPr>
        <w:t>理财产品净值=理财产品认购总金额+理财产品所获总收益-理财产品总税费（包括但不限于产品应缴增值税、应付销售服务费、托管费、管理费等）-理财产品累计终止、赎回和现金分红总金额（如有）</w:t>
      </w:r>
    </w:p>
    <w:p w14:paraId="1C435AAE">
      <w:pPr>
        <w:rPr>
          <w:rFonts w:ascii="仿宋" w:hAnsi="仿宋" w:eastAsia="仿宋"/>
          <w:sz w:val="18"/>
          <w:szCs w:val="18"/>
          <w:highlight w:val="none"/>
        </w:rPr>
      </w:pPr>
      <w:r>
        <w:rPr>
          <w:rFonts w:hint="eastAsia" w:ascii="仿宋" w:hAnsi="仿宋" w:eastAsia="仿宋"/>
          <w:sz w:val="18"/>
          <w:szCs w:val="18"/>
          <w:highlight w:val="none"/>
        </w:rPr>
        <w:t>理财产品份额净值=理财产品净资产÷本期理财产品总份额</w:t>
      </w:r>
    </w:p>
    <w:p w14:paraId="20310CCC">
      <w:pPr>
        <w:rPr>
          <w:rFonts w:hint="eastAsia" w:ascii="仿宋" w:hAnsi="仿宋" w:eastAsia="仿宋"/>
          <w:sz w:val="18"/>
          <w:szCs w:val="18"/>
          <w:highlight w:val="none"/>
        </w:rPr>
      </w:pPr>
      <w:r>
        <w:rPr>
          <w:rFonts w:hint="eastAsia" w:ascii="仿宋" w:hAnsi="仿宋" w:eastAsia="仿宋"/>
          <w:sz w:val="18"/>
          <w:szCs w:val="18"/>
          <w:highlight w:val="none"/>
        </w:rPr>
        <w:t>理财产品份额净值的计算，保留到小数点后6位，第7位四舍五入，由此误差产生的收益或损失由本产品财产承担。本产品资产估值原则上按照公允价值计量，采用符合《企业会计准则》和《关于规范金融机构资产管理业务的指导意见》相关规定方法进行资产估值。</w:t>
      </w:r>
    </w:p>
    <w:p w14:paraId="59B43ED8">
      <w:pPr>
        <w:rPr>
          <w:rFonts w:hint="eastAsia" w:ascii="仿宋" w:hAnsi="仿宋" w:eastAsia="仿宋" w:cs="Times New Roman"/>
          <w:sz w:val="18"/>
          <w:szCs w:val="18"/>
          <w:highlight w:val="none"/>
        </w:rPr>
      </w:pPr>
      <w:r>
        <w:rPr>
          <w:rFonts w:hint="eastAsia" w:ascii="仿宋" w:hAnsi="仿宋" w:eastAsia="仿宋" w:cs="Times New Roman"/>
          <w:sz w:val="18"/>
          <w:szCs w:val="18"/>
          <w:highlight w:val="none"/>
        </w:rPr>
        <w:t xml:space="preserve">投资者所得收益=投资份额×（到期或提前终止单位净值-初始单位净值） </w:t>
      </w:r>
    </w:p>
    <w:p w14:paraId="1B3566ED">
      <w:pPr>
        <w:rPr>
          <w:rFonts w:hint="eastAsia" w:ascii="仿宋" w:hAnsi="仿宋" w:eastAsia="仿宋" w:cs="Times New Roman"/>
          <w:sz w:val="18"/>
          <w:szCs w:val="18"/>
          <w:highlight w:val="none"/>
        </w:rPr>
      </w:pPr>
      <w:r>
        <w:rPr>
          <w:rFonts w:hint="eastAsia" w:ascii="仿宋" w:hAnsi="仿宋" w:eastAsia="仿宋" w:cs="Times New Roman"/>
          <w:sz w:val="18"/>
          <w:szCs w:val="18"/>
          <w:highlight w:val="none"/>
        </w:rPr>
        <w:t>投资者获得的人民币理财收益金额保留到小数点后两位（小数点两位以后</w:t>
      </w:r>
      <w:r>
        <w:rPr>
          <w:rFonts w:hint="eastAsia" w:ascii="仿宋" w:hAnsi="仿宋" w:eastAsia="仿宋" w:cs="Times New Roman"/>
          <w:sz w:val="18"/>
          <w:szCs w:val="18"/>
          <w:highlight w:val="none"/>
          <w:lang w:val="en-US" w:eastAsia="zh-CN"/>
        </w:rPr>
        <w:t>四舍五入</w:t>
      </w:r>
      <w:r>
        <w:rPr>
          <w:rFonts w:hint="eastAsia" w:ascii="仿宋" w:hAnsi="仿宋" w:eastAsia="仿宋" w:cs="Times New Roman"/>
          <w:sz w:val="18"/>
          <w:szCs w:val="18"/>
          <w:highlight w:val="none"/>
        </w:rPr>
        <w:t>）</w:t>
      </w:r>
    </w:p>
    <w:p w14:paraId="2A245965">
      <w:pPr>
        <w:rPr>
          <w:rFonts w:ascii="仿宋" w:hAnsi="仿宋" w:eastAsia="仿宋"/>
          <w:sz w:val="18"/>
          <w:szCs w:val="18"/>
          <w:highlight w:val="none"/>
        </w:rPr>
      </w:pPr>
      <w:r>
        <w:rPr>
          <w:rFonts w:hint="eastAsia" w:ascii="仿宋" w:hAnsi="仿宋" w:eastAsia="仿宋"/>
          <w:sz w:val="18"/>
          <w:szCs w:val="18"/>
          <w:highlight w:val="none"/>
        </w:rPr>
        <w:t>6、拒绝或暂停接受认购、赎回申请的情形及处理方式</w:t>
      </w:r>
    </w:p>
    <w:p w14:paraId="2D4C9E9A">
      <w:pPr>
        <w:rPr>
          <w:rFonts w:ascii="仿宋" w:hAnsi="仿宋" w:eastAsia="仿宋"/>
          <w:sz w:val="18"/>
          <w:szCs w:val="18"/>
          <w:highlight w:val="none"/>
        </w:rPr>
      </w:pPr>
      <w:r>
        <w:rPr>
          <w:rFonts w:hint="eastAsia" w:ascii="仿宋" w:hAnsi="仿宋" w:eastAsia="仿宋"/>
          <w:sz w:val="18"/>
          <w:szCs w:val="18"/>
          <w:highlight w:val="none"/>
        </w:rPr>
        <w:t>发生下列情况时，大连农商银行可拒绝或暂停接受、办理投资者的认购、赎回申请：</w:t>
      </w:r>
    </w:p>
    <w:p w14:paraId="495510D0">
      <w:pPr>
        <w:rPr>
          <w:rFonts w:ascii="仿宋" w:hAnsi="仿宋" w:eastAsia="仿宋"/>
          <w:sz w:val="18"/>
          <w:szCs w:val="18"/>
          <w:highlight w:val="none"/>
        </w:rPr>
      </w:pPr>
      <w:r>
        <w:rPr>
          <w:rFonts w:hint="eastAsia" w:ascii="仿宋" w:hAnsi="仿宋" w:eastAsia="仿宋"/>
          <w:sz w:val="18"/>
          <w:szCs w:val="18"/>
          <w:highlight w:val="none"/>
        </w:rPr>
        <w:t>（1）因不可抗力导致理财产品无法正常运作。</w:t>
      </w:r>
    </w:p>
    <w:p w14:paraId="7476D64E">
      <w:pPr>
        <w:rPr>
          <w:rFonts w:ascii="仿宋" w:hAnsi="仿宋" w:eastAsia="仿宋"/>
          <w:sz w:val="18"/>
          <w:szCs w:val="18"/>
          <w:highlight w:val="none"/>
        </w:rPr>
      </w:pPr>
      <w:r>
        <w:rPr>
          <w:rFonts w:hint="eastAsia" w:ascii="仿宋" w:hAnsi="仿宋" w:eastAsia="仿宋"/>
          <w:sz w:val="18"/>
          <w:szCs w:val="18"/>
          <w:highlight w:val="none"/>
        </w:rPr>
        <w:t>（2）银行间市场交易所或证券交易所交易时间非正常停市，导致大连农商银行无法计算当日理财产品资产净值。</w:t>
      </w:r>
    </w:p>
    <w:p w14:paraId="36893718">
      <w:pPr>
        <w:rPr>
          <w:rFonts w:ascii="仿宋" w:hAnsi="仿宋" w:eastAsia="仿宋"/>
          <w:sz w:val="18"/>
          <w:szCs w:val="18"/>
          <w:highlight w:val="none"/>
        </w:rPr>
      </w:pPr>
      <w:r>
        <w:rPr>
          <w:rFonts w:hint="eastAsia" w:ascii="仿宋" w:hAnsi="仿宋" w:eastAsia="仿宋"/>
          <w:sz w:val="18"/>
          <w:szCs w:val="18"/>
          <w:highlight w:val="none"/>
        </w:rPr>
        <w:t>（3）发生本产品协议规定的暂停理财产品资产估值情况。</w:t>
      </w:r>
    </w:p>
    <w:p w14:paraId="22B24BD8">
      <w:pPr>
        <w:rPr>
          <w:rFonts w:ascii="仿宋" w:hAnsi="仿宋" w:eastAsia="仿宋"/>
          <w:sz w:val="18"/>
          <w:szCs w:val="18"/>
          <w:highlight w:val="none"/>
        </w:rPr>
      </w:pPr>
      <w:r>
        <w:rPr>
          <w:rFonts w:hint="eastAsia" w:ascii="仿宋" w:hAnsi="仿宋" w:eastAsia="仿宋"/>
          <w:sz w:val="18"/>
          <w:szCs w:val="18"/>
          <w:highlight w:val="none"/>
        </w:rPr>
        <w:t>（4）法律法规规定或银保监会认定的其他情形。</w:t>
      </w:r>
    </w:p>
    <w:p w14:paraId="652051B0">
      <w:pPr>
        <w:rPr>
          <w:rFonts w:ascii="仿宋" w:hAnsi="仿宋" w:eastAsia="仿宋"/>
          <w:sz w:val="18"/>
          <w:szCs w:val="18"/>
          <w:highlight w:val="none"/>
        </w:rPr>
      </w:pPr>
      <w:r>
        <w:rPr>
          <w:rFonts w:hint="eastAsia" w:ascii="仿宋" w:hAnsi="仿宋" w:eastAsia="仿宋"/>
          <w:sz w:val="18"/>
          <w:szCs w:val="18"/>
          <w:highlight w:val="none"/>
        </w:rPr>
        <w:t>发生上述暂停认购、赎回情形时，大连农商银行将在其网站及营业网点发布暂停认购、赎回公告。如果投资者的认购申请被拒绝，被拒绝的认购款项将退还给投资者，本产品销售机构不负责承担投资者由此产生的利息等损失。在暂停认购、赎回的情况消除时，大连农商银行应及时恢复认购、赎回业务的办理。</w:t>
      </w:r>
    </w:p>
    <w:p w14:paraId="2892374C">
      <w:pPr>
        <w:rPr>
          <w:rFonts w:ascii="仿宋" w:hAnsi="仿宋" w:eastAsia="仿宋"/>
          <w:b/>
          <w:sz w:val="28"/>
          <w:szCs w:val="28"/>
          <w:highlight w:val="none"/>
        </w:rPr>
      </w:pPr>
      <w:r>
        <w:rPr>
          <w:rFonts w:hint="eastAsia" w:ascii="仿宋" w:hAnsi="仿宋" w:eastAsia="仿宋"/>
          <w:b/>
          <w:sz w:val="28"/>
          <w:szCs w:val="28"/>
          <w:highlight w:val="none"/>
        </w:rPr>
        <w:t>四、理财产品费用、风险示例</w:t>
      </w:r>
    </w:p>
    <w:p w14:paraId="3CE2A32A">
      <w:pPr>
        <w:rPr>
          <w:rFonts w:ascii="仿宋" w:hAnsi="仿宋" w:eastAsia="仿宋"/>
          <w:sz w:val="18"/>
          <w:szCs w:val="18"/>
          <w:highlight w:val="none"/>
        </w:rPr>
      </w:pPr>
      <w:r>
        <w:rPr>
          <w:rFonts w:hint="eastAsia" w:ascii="仿宋" w:hAnsi="仿宋" w:eastAsia="仿宋"/>
          <w:sz w:val="18"/>
          <w:szCs w:val="18"/>
          <w:highlight w:val="none"/>
        </w:rPr>
        <w:t>1、理财资金所承担的相关费用</w:t>
      </w:r>
    </w:p>
    <w:p w14:paraId="0BBE2BB2">
      <w:pPr>
        <w:rPr>
          <w:rFonts w:ascii="仿宋" w:hAnsi="仿宋" w:eastAsia="仿宋"/>
          <w:sz w:val="18"/>
          <w:szCs w:val="18"/>
          <w:highlight w:val="none"/>
        </w:rPr>
      </w:pPr>
      <w:r>
        <w:rPr>
          <w:rFonts w:hint="eastAsia" w:ascii="仿宋" w:hAnsi="仿宋" w:eastAsia="仿宋"/>
          <w:sz w:val="18"/>
          <w:szCs w:val="18"/>
          <w:highlight w:val="none"/>
        </w:rPr>
        <w:t>本理财产品所承担的费用包括产品管理费、产品托管费、销售费，以及其它应由理财产品资产承担的产品费用，产品到期后一次性支付。</w:t>
      </w:r>
    </w:p>
    <w:p w14:paraId="2C66FDD9">
      <w:pPr>
        <w:rPr>
          <w:rFonts w:ascii="仿宋" w:hAnsi="仿宋" w:eastAsia="仿宋"/>
          <w:sz w:val="18"/>
          <w:szCs w:val="18"/>
          <w:highlight w:val="none"/>
        </w:rPr>
      </w:pPr>
      <w:r>
        <w:rPr>
          <w:rFonts w:hint="eastAsia" w:ascii="仿宋" w:hAnsi="仿宋" w:eastAsia="仿宋"/>
          <w:sz w:val="18"/>
          <w:szCs w:val="18"/>
          <w:highlight w:val="none"/>
        </w:rPr>
        <w:t>（1）产品管理人的管理费</w:t>
      </w:r>
    </w:p>
    <w:p w14:paraId="135CA6AE">
      <w:pPr>
        <w:rPr>
          <w:rFonts w:ascii="仿宋" w:hAnsi="仿宋" w:eastAsia="仿宋"/>
          <w:sz w:val="18"/>
          <w:szCs w:val="18"/>
          <w:highlight w:val="none"/>
        </w:rPr>
      </w:pPr>
      <w:r>
        <w:rPr>
          <w:rFonts w:hint="eastAsia" w:ascii="仿宋" w:hAnsi="仿宋" w:eastAsia="仿宋"/>
          <w:sz w:val="18"/>
          <w:szCs w:val="18"/>
          <w:highlight w:val="none"/>
        </w:rPr>
        <w:t>产品固定管理费按产品当日存续本金</w:t>
      </w:r>
      <w:r>
        <w:rPr>
          <w:rFonts w:hint="eastAsia" w:ascii="仿宋" w:hAnsi="仿宋" w:eastAsia="仿宋"/>
          <w:sz w:val="18"/>
          <w:szCs w:val="18"/>
          <w:highlight w:val="none"/>
          <w:u w:val="single"/>
        </w:rPr>
        <w:t>0.00%</w:t>
      </w:r>
      <w:r>
        <w:rPr>
          <w:rFonts w:hint="eastAsia" w:ascii="仿宋" w:hAnsi="仿宋" w:eastAsia="仿宋"/>
          <w:sz w:val="18"/>
          <w:szCs w:val="18"/>
          <w:highlight w:val="none"/>
        </w:rPr>
        <w:t>年费率计提。计算方法如下：</w:t>
      </w:r>
    </w:p>
    <w:p w14:paraId="386EA6C3">
      <w:pPr>
        <w:rPr>
          <w:rFonts w:ascii="仿宋" w:hAnsi="仿宋" w:eastAsia="仿宋"/>
          <w:sz w:val="18"/>
          <w:szCs w:val="18"/>
          <w:highlight w:val="none"/>
        </w:rPr>
      </w:pPr>
      <w:r>
        <w:rPr>
          <w:rFonts w:hint="eastAsia" w:ascii="仿宋" w:hAnsi="仿宋" w:eastAsia="仿宋"/>
          <w:sz w:val="18"/>
          <w:szCs w:val="18"/>
          <w:highlight w:val="none"/>
        </w:rPr>
        <w:t>H＝E×</w:t>
      </w:r>
      <w:r>
        <w:rPr>
          <w:rFonts w:hint="eastAsia" w:ascii="仿宋" w:hAnsi="仿宋" w:eastAsia="仿宋"/>
          <w:sz w:val="18"/>
          <w:szCs w:val="18"/>
          <w:highlight w:val="none"/>
          <w:u w:val="single"/>
        </w:rPr>
        <w:t>0.00%</w:t>
      </w:r>
      <w:r>
        <w:rPr>
          <w:rFonts w:hint="eastAsia" w:ascii="仿宋" w:hAnsi="仿宋" w:eastAsia="仿宋"/>
          <w:sz w:val="18"/>
          <w:szCs w:val="18"/>
          <w:highlight w:val="none"/>
        </w:rPr>
        <w:t>÷365</w:t>
      </w:r>
    </w:p>
    <w:p w14:paraId="57B1DBA7">
      <w:pPr>
        <w:rPr>
          <w:rFonts w:ascii="仿宋" w:hAnsi="仿宋" w:eastAsia="仿宋"/>
          <w:sz w:val="18"/>
          <w:szCs w:val="18"/>
          <w:highlight w:val="none"/>
        </w:rPr>
      </w:pPr>
      <w:r>
        <w:rPr>
          <w:rFonts w:hint="eastAsia" w:ascii="仿宋" w:hAnsi="仿宋" w:eastAsia="仿宋"/>
          <w:sz w:val="18"/>
          <w:szCs w:val="18"/>
          <w:highlight w:val="none"/>
        </w:rPr>
        <w:t>H为每日应计提的产品固定管理费</w:t>
      </w:r>
    </w:p>
    <w:p w14:paraId="5F0524D0">
      <w:pPr>
        <w:rPr>
          <w:rFonts w:ascii="仿宋" w:hAnsi="仿宋" w:eastAsia="仿宋"/>
          <w:sz w:val="18"/>
          <w:szCs w:val="18"/>
          <w:highlight w:val="none"/>
        </w:rPr>
      </w:pPr>
      <w:r>
        <w:rPr>
          <w:rFonts w:hint="eastAsia" w:ascii="仿宋" w:hAnsi="仿宋" w:eastAsia="仿宋"/>
          <w:sz w:val="18"/>
          <w:szCs w:val="18"/>
          <w:highlight w:val="none"/>
        </w:rPr>
        <w:t>E为当日产品存续本金</w:t>
      </w:r>
    </w:p>
    <w:p w14:paraId="6B97D4B8">
      <w:pPr>
        <w:rPr>
          <w:rFonts w:hint="eastAsia" w:ascii="仿宋" w:hAnsi="仿宋" w:eastAsia="仿宋"/>
          <w:sz w:val="18"/>
          <w:szCs w:val="18"/>
          <w:highlight w:val="none"/>
        </w:rPr>
      </w:pPr>
      <w:r>
        <w:rPr>
          <w:rFonts w:hint="eastAsia" w:ascii="仿宋" w:hAnsi="仿宋" w:eastAsia="仿宋"/>
          <w:sz w:val="18"/>
          <w:szCs w:val="18"/>
          <w:highlight w:val="none"/>
        </w:rPr>
        <w:t>本产品扣除销售服务费、托管费和管理费，年化收益率低于业绩比较基准（含），不收取浮动业绩报酬；超过业绩比较基准的部分，10%归投资者所有，90%为产品浮动管理费，随产品到期一次性支付。</w:t>
      </w:r>
    </w:p>
    <w:p w14:paraId="7C8C4069">
      <w:pPr>
        <w:numPr>
          <w:ilvl w:val="0"/>
          <w:numId w:val="1"/>
        </w:numPr>
        <w:rPr>
          <w:rFonts w:hint="eastAsia" w:ascii="仿宋" w:hAnsi="仿宋" w:eastAsia="仿宋"/>
          <w:sz w:val="18"/>
          <w:szCs w:val="18"/>
          <w:highlight w:val="none"/>
        </w:rPr>
      </w:pPr>
      <w:r>
        <w:rPr>
          <w:rFonts w:hint="eastAsia" w:ascii="仿宋" w:hAnsi="仿宋" w:eastAsia="仿宋"/>
          <w:sz w:val="18"/>
          <w:szCs w:val="18"/>
          <w:highlight w:val="none"/>
        </w:rPr>
        <w:t>产品托管人的托管费</w:t>
      </w:r>
    </w:p>
    <w:p w14:paraId="0033C52D">
      <w:pPr>
        <w:numPr>
          <w:ilvl w:val="0"/>
          <w:numId w:val="0"/>
        </w:numPr>
        <w:rPr>
          <w:rFonts w:ascii="仿宋" w:hAnsi="仿宋" w:eastAsia="仿宋"/>
          <w:sz w:val="18"/>
          <w:szCs w:val="18"/>
          <w:highlight w:val="none"/>
        </w:rPr>
      </w:pPr>
      <w:r>
        <w:rPr>
          <w:rFonts w:hint="eastAsia" w:ascii="仿宋" w:hAnsi="仿宋" w:eastAsia="仿宋"/>
          <w:sz w:val="18"/>
          <w:szCs w:val="18"/>
          <w:highlight w:val="none"/>
        </w:rPr>
        <w:t>产品托管费按当日产品存续本金</w:t>
      </w:r>
      <w:r>
        <w:rPr>
          <w:rFonts w:hint="eastAsia" w:ascii="仿宋" w:hAnsi="仿宋" w:eastAsia="仿宋"/>
          <w:sz w:val="18"/>
          <w:szCs w:val="18"/>
          <w:highlight w:val="none"/>
          <w:u w:val="single"/>
        </w:rPr>
        <w:t>0.01%</w:t>
      </w:r>
      <w:r>
        <w:rPr>
          <w:rFonts w:hint="eastAsia" w:ascii="仿宋" w:hAnsi="仿宋" w:eastAsia="仿宋"/>
          <w:sz w:val="18"/>
          <w:szCs w:val="18"/>
          <w:highlight w:val="none"/>
        </w:rPr>
        <w:t>年费率计提。计算方法如下：</w:t>
      </w:r>
    </w:p>
    <w:p w14:paraId="044B5786">
      <w:pPr>
        <w:rPr>
          <w:rFonts w:ascii="仿宋" w:hAnsi="仿宋" w:eastAsia="仿宋"/>
          <w:sz w:val="18"/>
          <w:szCs w:val="18"/>
          <w:highlight w:val="none"/>
        </w:rPr>
      </w:pPr>
      <w:r>
        <w:rPr>
          <w:rFonts w:hint="eastAsia" w:ascii="仿宋" w:hAnsi="仿宋" w:eastAsia="仿宋"/>
          <w:sz w:val="18"/>
          <w:szCs w:val="18"/>
          <w:highlight w:val="none"/>
        </w:rPr>
        <w:t>H＝E×</w:t>
      </w:r>
      <w:r>
        <w:rPr>
          <w:rFonts w:hint="eastAsia" w:ascii="仿宋" w:hAnsi="仿宋" w:eastAsia="仿宋"/>
          <w:sz w:val="18"/>
          <w:szCs w:val="18"/>
          <w:highlight w:val="none"/>
          <w:u w:val="single"/>
        </w:rPr>
        <w:t>0.01%</w:t>
      </w:r>
      <w:r>
        <w:rPr>
          <w:rFonts w:hint="eastAsia" w:ascii="仿宋" w:hAnsi="仿宋" w:eastAsia="仿宋"/>
          <w:sz w:val="18"/>
          <w:szCs w:val="18"/>
          <w:highlight w:val="none"/>
        </w:rPr>
        <w:t>÷365</w:t>
      </w:r>
    </w:p>
    <w:p w14:paraId="21FBC4DE">
      <w:pPr>
        <w:rPr>
          <w:rFonts w:ascii="仿宋" w:hAnsi="仿宋" w:eastAsia="仿宋"/>
          <w:sz w:val="18"/>
          <w:szCs w:val="18"/>
          <w:highlight w:val="none"/>
        </w:rPr>
      </w:pPr>
      <w:r>
        <w:rPr>
          <w:rFonts w:hint="eastAsia" w:ascii="仿宋" w:hAnsi="仿宋" w:eastAsia="仿宋"/>
          <w:sz w:val="18"/>
          <w:szCs w:val="18"/>
          <w:highlight w:val="none"/>
        </w:rPr>
        <w:t>H为每日应计提的产品托管费</w:t>
      </w:r>
    </w:p>
    <w:p w14:paraId="4430AE22">
      <w:pPr>
        <w:rPr>
          <w:rFonts w:ascii="仿宋" w:hAnsi="仿宋" w:eastAsia="仿宋"/>
          <w:sz w:val="18"/>
          <w:szCs w:val="18"/>
          <w:highlight w:val="none"/>
        </w:rPr>
      </w:pPr>
      <w:r>
        <w:rPr>
          <w:rFonts w:hint="eastAsia" w:ascii="仿宋" w:hAnsi="仿宋" w:eastAsia="仿宋"/>
          <w:sz w:val="18"/>
          <w:szCs w:val="18"/>
          <w:highlight w:val="none"/>
        </w:rPr>
        <w:t>E为当日产品存续本金</w:t>
      </w:r>
    </w:p>
    <w:p w14:paraId="41283448">
      <w:pPr>
        <w:rPr>
          <w:rFonts w:ascii="仿宋" w:hAnsi="仿宋" w:eastAsia="仿宋"/>
          <w:sz w:val="18"/>
          <w:szCs w:val="18"/>
          <w:highlight w:val="none"/>
        </w:rPr>
      </w:pPr>
      <w:r>
        <w:rPr>
          <w:rFonts w:hint="eastAsia" w:ascii="仿宋" w:hAnsi="仿宋" w:eastAsia="仿宋"/>
          <w:sz w:val="18"/>
          <w:szCs w:val="18"/>
          <w:highlight w:val="none"/>
        </w:rPr>
        <w:t>（3）销售费</w:t>
      </w:r>
      <w:r>
        <w:rPr>
          <w:rFonts w:hint="eastAsia" w:ascii="仿宋" w:hAnsi="仿宋" w:eastAsia="仿宋"/>
          <w:sz w:val="18"/>
          <w:szCs w:val="18"/>
          <w:highlight w:val="none"/>
        </w:rPr>
        <w:br w:type="textWrapping"/>
      </w:r>
      <w:r>
        <w:rPr>
          <w:rFonts w:hint="eastAsia" w:ascii="仿宋" w:hAnsi="仿宋" w:eastAsia="仿宋"/>
          <w:sz w:val="18"/>
          <w:szCs w:val="18"/>
          <w:highlight w:val="none"/>
        </w:rPr>
        <w:t>本产品按当日产品存续本金</w:t>
      </w:r>
      <w:r>
        <w:rPr>
          <w:rFonts w:hint="eastAsia" w:ascii="仿宋" w:hAnsi="仿宋" w:eastAsia="仿宋"/>
          <w:sz w:val="18"/>
          <w:szCs w:val="18"/>
          <w:highlight w:val="none"/>
          <w:u w:val="single"/>
        </w:rPr>
        <w:t>0.25%</w:t>
      </w:r>
      <w:r>
        <w:rPr>
          <w:rFonts w:hint="eastAsia" w:ascii="仿宋" w:hAnsi="仿宋" w:eastAsia="仿宋"/>
          <w:sz w:val="18"/>
          <w:szCs w:val="18"/>
          <w:highlight w:val="none"/>
        </w:rPr>
        <w:t>年费率计提，产品到期后一次性支付。计算方法如下：</w:t>
      </w:r>
    </w:p>
    <w:p w14:paraId="5FD1DC8E">
      <w:pPr>
        <w:rPr>
          <w:rFonts w:ascii="仿宋" w:hAnsi="仿宋" w:eastAsia="仿宋"/>
          <w:sz w:val="18"/>
          <w:szCs w:val="18"/>
          <w:highlight w:val="none"/>
        </w:rPr>
      </w:pPr>
      <w:r>
        <w:rPr>
          <w:rFonts w:hint="eastAsia" w:ascii="仿宋" w:hAnsi="仿宋" w:eastAsia="仿宋"/>
          <w:sz w:val="18"/>
          <w:szCs w:val="18"/>
          <w:highlight w:val="none"/>
        </w:rPr>
        <w:t>H＝E×</w:t>
      </w:r>
      <w:r>
        <w:rPr>
          <w:rFonts w:hint="eastAsia" w:ascii="仿宋" w:hAnsi="仿宋" w:eastAsia="仿宋"/>
          <w:sz w:val="18"/>
          <w:szCs w:val="18"/>
          <w:highlight w:val="none"/>
          <w:u w:val="single"/>
        </w:rPr>
        <w:t>0.25%</w:t>
      </w:r>
      <w:r>
        <w:rPr>
          <w:rFonts w:hint="eastAsia" w:ascii="仿宋" w:hAnsi="仿宋" w:eastAsia="仿宋"/>
          <w:sz w:val="18"/>
          <w:szCs w:val="18"/>
          <w:highlight w:val="none"/>
        </w:rPr>
        <w:t>÷365</w:t>
      </w:r>
    </w:p>
    <w:p w14:paraId="43F1C31D">
      <w:pPr>
        <w:rPr>
          <w:rFonts w:ascii="仿宋" w:hAnsi="仿宋" w:eastAsia="仿宋"/>
          <w:sz w:val="18"/>
          <w:szCs w:val="18"/>
          <w:highlight w:val="none"/>
        </w:rPr>
      </w:pPr>
      <w:r>
        <w:rPr>
          <w:rFonts w:hint="eastAsia" w:ascii="仿宋" w:hAnsi="仿宋" w:eastAsia="仿宋"/>
          <w:sz w:val="18"/>
          <w:szCs w:val="18"/>
          <w:highlight w:val="none"/>
        </w:rPr>
        <w:t>H为每日应计提的销售费</w:t>
      </w:r>
    </w:p>
    <w:p w14:paraId="63F1149A">
      <w:pPr>
        <w:rPr>
          <w:rFonts w:ascii="仿宋" w:hAnsi="仿宋" w:eastAsia="仿宋"/>
          <w:sz w:val="18"/>
          <w:szCs w:val="18"/>
          <w:highlight w:val="none"/>
        </w:rPr>
      </w:pPr>
      <w:r>
        <w:rPr>
          <w:rFonts w:hint="eastAsia" w:ascii="仿宋" w:hAnsi="仿宋" w:eastAsia="仿宋"/>
          <w:sz w:val="18"/>
          <w:szCs w:val="18"/>
          <w:highlight w:val="none"/>
        </w:rPr>
        <w:t>E为当日产品存续本金</w:t>
      </w:r>
    </w:p>
    <w:p w14:paraId="0968A4FD">
      <w:pPr>
        <w:rPr>
          <w:rFonts w:ascii="仿宋" w:hAnsi="仿宋" w:eastAsia="仿宋"/>
          <w:sz w:val="18"/>
          <w:szCs w:val="18"/>
          <w:highlight w:val="none"/>
        </w:rPr>
      </w:pPr>
      <w:r>
        <w:rPr>
          <w:rFonts w:hint="eastAsia" w:ascii="仿宋" w:hAnsi="仿宋" w:eastAsia="仿宋"/>
          <w:sz w:val="18"/>
          <w:szCs w:val="18"/>
          <w:highlight w:val="none"/>
        </w:rPr>
        <w:t>（4）运营服务费</w:t>
      </w:r>
      <w:r>
        <w:rPr>
          <w:rFonts w:hint="eastAsia" w:ascii="仿宋" w:hAnsi="仿宋" w:eastAsia="仿宋"/>
          <w:sz w:val="18"/>
          <w:szCs w:val="18"/>
          <w:highlight w:val="none"/>
        </w:rPr>
        <w:br w:type="textWrapping"/>
      </w:r>
      <w:r>
        <w:rPr>
          <w:rFonts w:hint="eastAsia" w:ascii="仿宋" w:hAnsi="仿宋" w:eastAsia="仿宋"/>
          <w:sz w:val="18"/>
          <w:szCs w:val="18"/>
          <w:highlight w:val="none"/>
        </w:rPr>
        <w:t>本产品按当日产品存续本金</w:t>
      </w:r>
      <w:r>
        <w:rPr>
          <w:rFonts w:hint="eastAsia" w:ascii="仿宋" w:hAnsi="仿宋" w:eastAsia="仿宋"/>
          <w:sz w:val="18"/>
          <w:szCs w:val="18"/>
          <w:highlight w:val="none"/>
          <w:u w:val="single"/>
        </w:rPr>
        <w:t>0.01%</w:t>
      </w:r>
      <w:r>
        <w:rPr>
          <w:rFonts w:hint="eastAsia" w:ascii="仿宋" w:hAnsi="仿宋" w:eastAsia="仿宋"/>
          <w:sz w:val="18"/>
          <w:szCs w:val="18"/>
          <w:highlight w:val="none"/>
        </w:rPr>
        <w:t>年费率计提，产品到期后一次性支付。计算方法如下：</w:t>
      </w:r>
    </w:p>
    <w:p w14:paraId="115D6FA2">
      <w:pPr>
        <w:rPr>
          <w:rFonts w:ascii="仿宋" w:hAnsi="仿宋" w:eastAsia="仿宋"/>
          <w:sz w:val="18"/>
          <w:szCs w:val="18"/>
          <w:highlight w:val="none"/>
        </w:rPr>
      </w:pPr>
      <w:r>
        <w:rPr>
          <w:rFonts w:hint="eastAsia" w:ascii="仿宋" w:hAnsi="仿宋" w:eastAsia="仿宋"/>
          <w:sz w:val="18"/>
          <w:szCs w:val="18"/>
          <w:highlight w:val="none"/>
        </w:rPr>
        <w:t>H＝E×</w:t>
      </w:r>
      <w:r>
        <w:rPr>
          <w:rFonts w:hint="eastAsia" w:ascii="仿宋" w:hAnsi="仿宋" w:eastAsia="仿宋"/>
          <w:sz w:val="18"/>
          <w:szCs w:val="18"/>
          <w:highlight w:val="none"/>
          <w:u w:val="single"/>
        </w:rPr>
        <w:t>0.01%</w:t>
      </w:r>
      <w:r>
        <w:rPr>
          <w:rFonts w:hint="eastAsia" w:ascii="仿宋" w:hAnsi="仿宋" w:eastAsia="仿宋"/>
          <w:sz w:val="18"/>
          <w:szCs w:val="18"/>
          <w:highlight w:val="none"/>
        </w:rPr>
        <w:t>÷365</w:t>
      </w:r>
    </w:p>
    <w:p w14:paraId="0244F4E3">
      <w:pPr>
        <w:rPr>
          <w:rFonts w:ascii="仿宋" w:hAnsi="仿宋" w:eastAsia="仿宋"/>
          <w:sz w:val="18"/>
          <w:szCs w:val="18"/>
          <w:highlight w:val="none"/>
        </w:rPr>
      </w:pPr>
      <w:r>
        <w:rPr>
          <w:rFonts w:hint="eastAsia" w:ascii="仿宋" w:hAnsi="仿宋" w:eastAsia="仿宋"/>
          <w:sz w:val="18"/>
          <w:szCs w:val="18"/>
          <w:highlight w:val="none"/>
        </w:rPr>
        <w:t>H为每日应计提的运营服务费</w:t>
      </w:r>
    </w:p>
    <w:p w14:paraId="5D363C52">
      <w:pPr>
        <w:rPr>
          <w:rFonts w:ascii="仿宋" w:hAnsi="仿宋" w:eastAsia="仿宋"/>
          <w:sz w:val="18"/>
          <w:szCs w:val="18"/>
          <w:highlight w:val="none"/>
        </w:rPr>
      </w:pPr>
      <w:r>
        <w:rPr>
          <w:rFonts w:hint="eastAsia" w:ascii="仿宋" w:hAnsi="仿宋" w:eastAsia="仿宋"/>
          <w:sz w:val="18"/>
          <w:szCs w:val="18"/>
          <w:highlight w:val="none"/>
        </w:rPr>
        <w:t>E为当日产品存续本金</w:t>
      </w:r>
    </w:p>
    <w:p w14:paraId="14DD13EB">
      <w:pPr>
        <w:rPr>
          <w:rFonts w:ascii="仿宋" w:hAnsi="仿宋" w:eastAsia="仿宋"/>
          <w:sz w:val="18"/>
          <w:szCs w:val="18"/>
          <w:highlight w:val="none"/>
        </w:rPr>
      </w:pPr>
      <w:r>
        <w:rPr>
          <w:rFonts w:hint="eastAsia" w:ascii="仿宋" w:hAnsi="仿宋" w:eastAsia="仿宋"/>
          <w:sz w:val="18"/>
          <w:szCs w:val="18"/>
          <w:highlight w:val="none"/>
        </w:rPr>
        <w:t>（5）增值税及附加税费</w:t>
      </w:r>
    </w:p>
    <w:p w14:paraId="586009FA">
      <w:pPr>
        <w:rPr>
          <w:rFonts w:ascii="仿宋" w:hAnsi="仿宋" w:eastAsia="仿宋"/>
          <w:sz w:val="18"/>
          <w:szCs w:val="18"/>
          <w:highlight w:val="none"/>
        </w:rPr>
      </w:pPr>
      <w:r>
        <w:rPr>
          <w:rFonts w:hint="eastAsia" w:ascii="仿宋" w:hAnsi="仿宋" w:eastAsia="仿宋"/>
          <w:sz w:val="18"/>
          <w:szCs w:val="18"/>
          <w:highlight w:val="none"/>
        </w:rPr>
        <w:t>根据中国增值税相关法律法规、税收政策等要求，理财产品运营过程中发生的增值税应税行为，以理财产品管理人为纳税人。签约各方同意本理财产品在运营过程应缴纳的增值税及附加税费（包括但不限于，城市维护建设税、教育费附加及地方教育附加等）由管理人从理财产品财产中支付，并依据中国税务机关要求，履行相关纳税申报义务。投资者从理财产品取得的收益应缴纳的税款，由投资者自行申报及缴纳。</w:t>
      </w:r>
    </w:p>
    <w:p w14:paraId="6267B038">
      <w:pPr>
        <w:rPr>
          <w:rFonts w:ascii="仿宋" w:hAnsi="仿宋" w:eastAsia="仿宋"/>
          <w:sz w:val="18"/>
          <w:szCs w:val="18"/>
          <w:highlight w:val="none"/>
        </w:rPr>
      </w:pPr>
      <w:r>
        <w:rPr>
          <w:rFonts w:hint="eastAsia" w:ascii="仿宋" w:hAnsi="仿宋" w:eastAsia="仿宋"/>
          <w:sz w:val="18"/>
          <w:szCs w:val="18"/>
          <w:highlight w:val="none"/>
        </w:rPr>
        <w:t>（6）其它费用</w:t>
      </w:r>
    </w:p>
    <w:p w14:paraId="06160A20">
      <w:pPr>
        <w:rPr>
          <w:rFonts w:ascii="仿宋" w:hAnsi="仿宋" w:eastAsia="仿宋"/>
          <w:sz w:val="18"/>
          <w:szCs w:val="18"/>
          <w:highlight w:val="none"/>
        </w:rPr>
      </w:pPr>
      <w:r>
        <w:rPr>
          <w:rFonts w:hint="eastAsia" w:ascii="仿宋" w:hAnsi="仿宋" w:eastAsia="仿宋"/>
          <w:sz w:val="18"/>
          <w:szCs w:val="18"/>
          <w:highlight w:val="none"/>
        </w:rPr>
        <w:t>产品运作中可能产生的其他费用，包括但不限于银行划拨手续费、交易费用（包括但不限于交易佣金、货币中介服务费、撮合费用等）、理财产品验资费、审计费、律师费、信息披露费、清算费、执行费用、投后管理费、税费等，按照实际情况从产品中列支。</w:t>
      </w:r>
    </w:p>
    <w:p w14:paraId="0912A520">
      <w:pPr>
        <w:rPr>
          <w:rFonts w:ascii="仿宋" w:hAnsi="仿宋" w:eastAsia="仿宋"/>
          <w:sz w:val="18"/>
          <w:szCs w:val="18"/>
          <w:highlight w:val="none"/>
        </w:rPr>
      </w:pPr>
      <w:r>
        <w:rPr>
          <w:rFonts w:hint="eastAsia" w:ascii="仿宋" w:hAnsi="仿宋" w:eastAsia="仿宋"/>
          <w:sz w:val="18"/>
          <w:szCs w:val="18"/>
          <w:highlight w:val="none"/>
        </w:rPr>
        <w:t>（7）费用调整</w:t>
      </w:r>
    </w:p>
    <w:p w14:paraId="3CE0DFF4">
      <w:pPr>
        <w:rPr>
          <w:rFonts w:ascii="仿宋" w:hAnsi="仿宋" w:eastAsia="仿宋"/>
          <w:sz w:val="18"/>
          <w:szCs w:val="18"/>
          <w:highlight w:val="none"/>
        </w:rPr>
      </w:pPr>
      <w:r>
        <w:rPr>
          <w:rFonts w:hint="eastAsia" w:ascii="仿宋" w:hAnsi="仿宋" w:eastAsia="仿宋"/>
          <w:sz w:val="18"/>
          <w:szCs w:val="18"/>
          <w:highlight w:val="none"/>
        </w:rPr>
        <w:t>大连农商银行有权根据相关法律和国家政策的规定，对本理财产品的收费项目、收费条件、收费标准和收费方式进行调整。投资者若对此有异议，可申请赎回。投资者在公告后5个工作日内未提出赎回申请的视同无异议，继续持有本理财产品。</w:t>
      </w:r>
    </w:p>
    <w:p w14:paraId="42C196B9">
      <w:pPr>
        <w:rPr>
          <w:rFonts w:ascii="仿宋" w:hAnsi="仿宋" w:eastAsia="仿宋"/>
          <w:sz w:val="18"/>
          <w:szCs w:val="18"/>
          <w:highlight w:val="none"/>
        </w:rPr>
      </w:pPr>
      <w:r>
        <w:rPr>
          <w:rFonts w:hint="eastAsia" w:ascii="仿宋" w:hAnsi="仿宋" w:eastAsia="仿宋"/>
          <w:sz w:val="18"/>
          <w:szCs w:val="18"/>
          <w:highlight w:val="none"/>
        </w:rPr>
        <w:t>2、风险示例</w:t>
      </w:r>
    </w:p>
    <w:p w14:paraId="1FBCF7DA">
      <w:pPr>
        <w:pStyle w:val="7"/>
        <w:widowControl/>
        <w:spacing w:line="300" w:lineRule="atLeast"/>
        <w:rPr>
          <w:rFonts w:hint="default" w:ascii="仿宋" w:hAnsi="仿宋" w:eastAsia="仿宋"/>
          <w:kern w:val="2"/>
          <w:sz w:val="18"/>
          <w:szCs w:val="18"/>
          <w:highlight w:val="none"/>
        </w:rPr>
      </w:pPr>
      <w:r>
        <w:rPr>
          <w:rFonts w:ascii="仿宋" w:hAnsi="仿宋" w:eastAsia="仿宋"/>
          <w:color w:val="auto"/>
          <w:kern w:val="2"/>
          <w:sz w:val="18"/>
          <w:szCs w:val="18"/>
          <w:highlight w:val="none"/>
        </w:rPr>
        <w:t>（1）</w:t>
      </w:r>
      <w:r>
        <w:rPr>
          <w:rFonts w:hint="default" w:ascii="仿宋" w:hAnsi="仿宋" w:eastAsia="仿宋"/>
          <w:color w:val="auto"/>
          <w:kern w:val="2"/>
          <w:sz w:val="18"/>
          <w:szCs w:val="18"/>
          <w:highlight w:val="none"/>
        </w:rPr>
        <w:t>扣除</w:t>
      </w:r>
      <w:r>
        <w:rPr>
          <w:rFonts w:ascii="仿宋" w:hAnsi="仿宋" w:eastAsia="仿宋"/>
          <w:color w:val="auto"/>
          <w:kern w:val="2"/>
          <w:sz w:val="18"/>
          <w:szCs w:val="18"/>
          <w:highlight w:val="none"/>
        </w:rPr>
        <w:t>固定费用及相关税费</w:t>
      </w:r>
      <w:r>
        <w:rPr>
          <w:rFonts w:hint="default" w:ascii="仿宋" w:hAnsi="仿宋" w:eastAsia="仿宋"/>
          <w:color w:val="auto"/>
          <w:kern w:val="2"/>
          <w:sz w:val="18"/>
          <w:szCs w:val="18"/>
          <w:highlight w:val="none"/>
        </w:rPr>
        <w:t>后，投资收益</w:t>
      </w:r>
      <w:r>
        <w:rPr>
          <w:rFonts w:ascii="仿宋" w:hAnsi="仿宋" w:eastAsia="仿宋"/>
          <w:kern w:val="2"/>
          <w:sz w:val="18"/>
          <w:szCs w:val="18"/>
          <w:highlight w:val="none"/>
        </w:rPr>
        <w:t>高于</w:t>
      </w:r>
      <w:r>
        <w:rPr>
          <w:rFonts w:hint="default" w:ascii="仿宋" w:hAnsi="仿宋" w:eastAsia="仿宋"/>
          <w:kern w:val="2"/>
          <w:sz w:val="18"/>
          <w:szCs w:val="18"/>
          <w:highlight w:val="none"/>
        </w:rPr>
        <w:t>业绩比较基准。</w:t>
      </w:r>
    </w:p>
    <w:p w14:paraId="431CFE25">
      <w:pPr>
        <w:pStyle w:val="7"/>
        <w:widowControl/>
        <w:spacing w:line="300" w:lineRule="atLeast"/>
        <w:ind w:firstLine="360" w:firstLineChars="200"/>
        <w:rPr>
          <w:rFonts w:hint="default" w:ascii="仿宋" w:hAnsi="仿宋" w:eastAsia="仿宋"/>
          <w:kern w:val="2"/>
          <w:sz w:val="18"/>
          <w:szCs w:val="18"/>
          <w:highlight w:val="none"/>
        </w:rPr>
      </w:pPr>
      <w:r>
        <w:rPr>
          <w:rFonts w:ascii="仿宋" w:hAnsi="仿宋" w:eastAsia="仿宋"/>
          <w:kern w:val="2"/>
          <w:sz w:val="18"/>
          <w:szCs w:val="18"/>
          <w:highlight w:val="none"/>
        </w:rPr>
        <w:t>示例：假如投资者在认购期认购该理财产品10万份，理财产品初始份额净值为1元，封闭期限为100天，该产品到期日扣除固定管理费、托管费、销售服务费、第三方费用及相应税费后资产组合年化收益率为4.5%，高于业绩比较基准4.4%，则大连农商银行提取超出部分（4.5%-4.4%=0.1%）的90%作为产品管理人的超额业绩报酬，10%归该理财产品全部投资人所有。该产品到期日扣除上述费用、超额业绩报酬及相关税、费后净值为1.012082。</w:t>
      </w:r>
    </w:p>
    <w:p w14:paraId="3D6AD27D">
      <w:pPr>
        <w:pStyle w:val="7"/>
        <w:widowControl/>
        <w:spacing w:line="300" w:lineRule="atLeast"/>
        <w:ind w:firstLine="360" w:firstLineChars="200"/>
        <w:rPr>
          <w:rFonts w:hint="default" w:ascii="仿宋" w:hAnsi="仿宋" w:eastAsia="仿宋"/>
          <w:kern w:val="2"/>
          <w:sz w:val="18"/>
          <w:szCs w:val="18"/>
          <w:highlight w:val="none"/>
        </w:rPr>
      </w:pPr>
      <w:r>
        <w:rPr>
          <w:rFonts w:ascii="仿宋" w:hAnsi="仿宋" w:eastAsia="仿宋"/>
          <w:kern w:val="2"/>
          <w:sz w:val="18"/>
          <w:szCs w:val="18"/>
          <w:highlight w:val="none"/>
        </w:rPr>
        <w:t>客户最终收益为：100,000.00×（1.012082-1）=1208.2（元）。</w:t>
      </w:r>
    </w:p>
    <w:p w14:paraId="29972E22">
      <w:pPr>
        <w:pStyle w:val="7"/>
        <w:widowControl/>
        <w:spacing w:line="300" w:lineRule="atLeast"/>
        <w:rPr>
          <w:rFonts w:hint="default" w:ascii="仿宋" w:hAnsi="仿宋" w:eastAsia="仿宋"/>
          <w:color w:val="auto"/>
          <w:kern w:val="2"/>
          <w:sz w:val="18"/>
          <w:szCs w:val="18"/>
          <w:highlight w:val="none"/>
        </w:rPr>
      </w:pPr>
      <w:r>
        <w:rPr>
          <w:rFonts w:ascii="仿宋" w:hAnsi="仿宋" w:eastAsia="仿宋"/>
          <w:color w:val="auto"/>
          <w:kern w:val="2"/>
          <w:sz w:val="18"/>
          <w:szCs w:val="18"/>
          <w:highlight w:val="none"/>
        </w:rPr>
        <w:t>（2）</w:t>
      </w:r>
      <w:r>
        <w:rPr>
          <w:rFonts w:hint="default" w:ascii="仿宋" w:hAnsi="仿宋" w:eastAsia="仿宋"/>
          <w:color w:val="auto"/>
          <w:kern w:val="2"/>
          <w:sz w:val="18"/>
          <w:szCs w:val="18"/>
          <w:highlight w:val="none"/>
        </w:rPr>
        <w:t>扣除</w:t>
      </w:r>
      <w:r>
        <w:rPr>
          <w:rFonts w:ascii="仿宋" w:hAnsi="仿宋" w:eastAsia="仿宋"/>
          <w:color w:val="auto"/>
          <w:kern w:val="2"/>
          <w:sz w:val="18"/>
          <w:szCs w:val="18"/>
          <w:highlight w:val="none"/>
        </w:rPr>
        <w:t>固定费用及相关税费</w:t>
      </w:r>
      <w:r>
        <w:rPr>
          <w:rFonts w:hint="default" w:ascii="仿宋" w:hAnsi="仿宋" w:eastAsia="仿宋"/>
          <w:color w:val="auto"/>
          <w:kern w:val="2"/>
          <w:sz w:val="18"/>
          <w:szCs w:val="18"/>
          <w:highlight w:val="none"/>
        </w:rPr>
        <w:t>后，</w:t>
      </w:r>
      <w:r>
        <w:rPr>
          <w:rFonts w:ascii="仿宋" w:hAnsi="仿宋" w:eastAsia="仿宋"/>
          <w:color w:val="auto"/>
          <w:kern w:val="2"/>
          <w:sz w:val="18"/>
          <w:szCs w:val="18"/>
          <w:highlight w:val="none"/>
        </w:rPr>
        <w:t>投资收益未达到业绩比较基准。</w:t>
      </w:r>
    </w:p>
    <w:p w14:paraId="60EE9CC8">
      <w:pPr>
        <w:pStyle w:val="7"/>
        <w:widowControl/>
        <w:spacing w:line="300" w:lineRule="atLeast"/>
        <w:ind w:firstLine="360" w:firstLineChars="200"/>
        <w:rPr>
          <w:rFonts w:hint="default" w:ascii="仿宋" w:hAnsi="仿宋" w:eastAsia="仿宋"/>
          <w:color w:val="auto"/>
          <w:kern w:val="2"/>
          <w:sz w:val="18"/>
          <w:szCs w:val="18"/>
          <w:highlight w:val="none"/>
        </w:rPr>
      </w:pPr>
      <w:r>
        <w:rPr>
          <w:rFonts w:ascii="仿宋" w:hAnsi="仿宋" w:eastAsia="仿宋"/>
          <w:color w:val="auto"/>
          <w:kern w:val="2"/>
          <w:sz w:val="18"/>
          <w:szCs w:val="18"/>
          <w:highlight w:val="none"/>
        </w:rPr>
        <w:t>示例：假如投资者在认购期认购该理财产品10万份，理财产品初始份额净值为1元，封闭期限为100天，该产品到期日扣除固定管理费、托管费、销售服务费、第三方费用及相应税费后资产组合年化收益率为3.65%，低于业绩比较基准4.4%，则大连农商银行不提取超额业绩报酬。该产品到期日扣除上述费用及相关税、费后净值为1.010000。</w:t>
      </w:r>
    </w:p>
    <w:p w14:paraId="24EA88A2">
      <w:pPr>
        <w:pStyle w:val="7"/>
        <w:widowControl/>
        <w:spacing w:line="300" w:lineRule="atLeast"/>
        <w:ind w:firstLine="360" w:firstLineChars="200"/>
        <w:rPr>
          <w:rFonts w:hint="default" w:ascii="仿宋" w:hAnsi="仿宋" w:eastAsia="仿宋"/>
          <w:color w:val="auto"/>
          <w:kern w:val="2"/>
          <w:sz w:val="18"/>
          <w:szCs w:val="18"/>
          <w:highlight w:val="none"/>
        </w:rPr>
      </w:pPr>
      <w:r>
        <w:rPr>
          <w:rFonts w:ascii="仿宋" w:hAnsi="仿宋" w:eastAsia="仿宋"/>
          <w:color w:val="auto"/>
          <w:kern w:val="2"/>
          <w:sz w:val="18"/>
          <w:szCs w:val="18"/>
          <w:highlight w:val="none"/>
        </w:rPr>
        <w:t>客户最终收益为：100,000.00×（1.010000-1）=1000（元）。</w:t>
      </w:r>
    </w:p>
    <w:p w14:paraId="6E91BB22">
      <w:pPr>
        <w:pStyle w:val="7"/>
        <w:widowControl/>
        <w:spacing w:line="300" w:lineRule="atLeast"/>
        <w:rPr>
          <w:rFonts w:hint="default" w:ascii="仿宋" w:hAnsi="仿宋" w:eastAsia="仿宋"/>
          <w:color w:val="auto"/>
          <w:kern w:val="2"/>
          <w:sz w:val="18"/>
          <w:szCs w:val="18"/>
          <w:highlight w:val="none"/>
        </w:rPr>
      </w:pPr>
      <w:r>
        <w:rPr>
          <w:rFonts w:ascii="仿宋" w:hAnsi="仿宋" w:eastAsia="仿宋"/>
          <w:color w:val="auto"/>
          <w:kern w:val="2"/>
          <w:sz w:val="18"/>
          <w:szCs w:val="18"/>
          <w:highlight w:val="none"/>
        </w:rPr>
        <w:t>（3）</w:t>
      </w:r>
      <w:r>
        <w:rPr>
          <w:rFonts w:hint="default" w:ascii="仿宋" w:hAnsi="仿宋" w:eastAsia="仿宋"/>
          <w:color w:val="auto"/>
          <w:kern w:val="2"/>
          <w:sz w:val="18"/>
          <w:szCs w:val="18"/>
          <w:highlight w:val="none"/>
        </w:rPr>
        <w:t>扣除</w:t>
      </w:r>
      <w:r>
        <w:rPr>
          <w:rFonts w:ascii="仿宋" w:hAnsi="仿宋" w:eastAsia="仿宋"/>
          <w:color w:val="auto"/>
          <w:kern w:val="2"/>
          <w:sz w:val="18"/>
          <w:szCs w:val="18"/>
          <w:highlight w:val="none"/>
        </w:rPr>
        <w:t>固定费用及相关税费</w:t>
      </w:r>
      <w:r>
        <w:rPr>
          <w:rFonts w:hint="default" w:ascii="仿宋" w:hAnsi="仿宋" w:eastAsia="仿宋"/>
          <w:color w:val="auto"/>
          <w:kern w:val="2"/>
          <w:sz w:val="18"/>
          <w:szCs w:val="18"/>
          <w:highlight w:val="none"/>
        </w:rPr>
        <w:t>后，</w:t>
      </w:r>
      <w:r>
        <w:rPr>
          <w:rFonts w:ascii="仿宋" w:hAnsi="仿宋" w:eastAsia="仿宋"/>
          <w:color w:val="auto"/>
          <w:kern w:val="2"/>
          <w:sz w:val="18"/>
          <w:szCs w:val="18"/>
          <w:highlight w:val="none"/>
        </w:rPr>
        <w:t>投资发生亏损。</w:t>
      </w:r>
    </w:p>
    <w:p w14:paraId="0B23AE5A">
      <w:pPr>
        <w:widowControl/>
        <w:spacing w:line="340" w:lineRule="exact"/>
        <w:ind w:firstLine="360" w:firstLineChars="200"/>
        <w:jc w:val="left"/>
        <w:rPr>
          <w:rFonts w:ascii="仿宋" w:hAnsi="仿宋" w:eastAsia="仿宋"/>
          <w:sz w:val="18"/>
          <w:szCs w:val="18"/>
          <w:highlight w:val="none"/>
        </w:rPr>
      </w:pPr>
      <w:r>
        <w:rPr>
          <w:rFonts w:hint="eastAsia" w:ascii="仿宋" w:hAnsi="仿宋" w:eastAsia="仿宋"/>
          <w:sz w:val="18"/>
          <w:szCs w:val="18"/>
          <w:highlight w:val="none"/>
        </w:rPr>
        <w:t>示例：假如投资者在认购期认购该理财产品10万份，理财产品初始份额净值为1元，封闭期限为100天，该产品到期日扣除固定管理费、托管费、销售服务费、第三方费用及相应税费后资产组合年化收益率为-1%，低于业绩比较基准4.4%，则大连农商银行不提取超额业绩报酬。该产品到期日扣除上述费用及相关税、费后净值为0.997260。</w:t>
      </w:r>
    </w:p>
    <w:p w14:paraId="7C86C93E">
      <w:pPr>
        <w:widowControl/>
        <w:spacing w:line="340" w:lineRule="exact"/>
        <w:ind w:firstLine="420"/>
        <w:jc w:val="left"/>
        <w:rPr>
          <w:rFonts w:ascii="仿宋" w:hAnsi="仿宋" w:eastAsia="仿宋"/>
          <w:sz w:val="18"/>
          <w:szCs w:val="18"/>
          <w:highlight w:val="none"/>
        </w:rPr>
      </w:pPr>
      <w:r>
        <w:rPr>
          <w:rFonts w:hint="eastAsia" w:ascii="仿宋" w:hAnsi="仿宋" w:eastAsia="仿宋"/>
          <w:sz w:val="18"/>
          <w:szCs w:val="18"/>
          <w:highlight w:val="none"/>
        </w:rPr>
        <w:t>客户最终收益为：100,000.00×（0.997260-1.00）=-274（元）。</w:t>
      </w:r>
    </w:p>
    <w:p w14:paraId="0FD2754E">
      <w:pPr>
        <w:widowControl/>
        <w:spacing w:line="340" w:lineRule="exact"/>
        <w:ind w:firstLine="420"/>
        <w:jc w:val="left"/>
        <w:rPr>
          <w:rFonts w:ascii="仿宋" w:hAnsi="仿宋" w:eastAsia="仿宋"/>
          <w:sz w:val="18"/>
          <w:szCs w:val="18"/>
          <w:highlight w:val="none"/>
        </w:rPr>
      </w:pPr>
      <w:r>
        <w:rPr>
          <w:rFonts w:hint="eastAsia" w:ascii="仿宋" w:hAnsi="仿宋" w:eastAsia="仿宋"/>
          <w:sz w:val="18"/>
          <w:szCs w:val="18"/>
          <w:highlight w:val="none"/>
        </w:rPr>
        <w:t>客户本息合计为100000+（-274）=99726</w:t>
      </w:r>
    </w:p>
    <w:p w14:paraId="44699167">
      <w:pPr>
        <w:ind w:firstLine="270" w:firstLineChars="150"/>
        <w:rPr>
          <w:rFonts w:ascii="仿宋" w:hAnsi="仿宋" w:eastAsia="仿宋"/>
          <w:sz w:val="18"/>
          <w:szCs w:val="18"/>
          <w:highlight w:val="none"/>
        </w:rPr>
      </w:pPr>
      <w:r>
        <w:rPr>
          <w:rFonts w:hint="eastAsia" w:ascii="仿宋" w:hAnsi="仿宋" w:eastAsia="仿宋"/>
          <w:sz w:val="18"/>
          <w:szCs w:val="18"/>
          <w:highlight w:val="none"/>
        </w:rPr>
        <w:t>（</w:t>
      </w:r>
      <w:r>
        <w:rPr>
          <w:rFonts w:hint="eastAsia" w:ascii="仿宋" w:hAnsi="仿宋" w:eastAsia="仿宋"/>
          <w:b/>
          <w:sz w:val="18"/>
          <w:szCs w:val="18"/>
          <w:highlight w:val="none"/>
        </w:rPr>
        <w:t>测算收益不等于实际收益，投资须谨慎</w:t>
      </w:r>
      <w:r>
        <w:rPr>
          <w:rFonts w:hint="eastAsia" w:ascii="仿宋" w:hAnsi="仿宋" w:eastAsia="仿宋"/>
          <w:sz w:val="18"/>
          <w:szCs w:val="18"/>
          <w:highlight w:val="none"/>
        </w:rPr>
        <w:t>）</w:t>
      </w:r>
    </w:p>
    <w:p w14:paraId="42C01032">
      <w:pPr>
        <w:rPr>
          <w:rFonts w:ascii="仿宋" w:hAnsi="仿宋" w:eastAsia="仿宋"/>
          <w:sz w:val="18"/>
          <w:szCs w:val="18"/>
          <w:highlight w:val="none"/>
        </w:rPr>
      </w:pPr>
      <w:r>
        <w:rPr>
          <w:rFonts w:hint="eastAsia" w:ascii="仿宋" w:hAnsi="仿宋" w:eastAsia="仿宋"/>
          <w:sz w:val="18"/>
          <w:szCs w:val="18"/>
          <w:highlight w:val="none"/>
        </w:rPr>
        <w:t>3、本金及理财收益风险</w:t>
      </w:r>
    </w:p>
    <w:p w14:paraId="76F5FFCF">
      <w:pPr>
        <w:rPr>
          <w:rFonts w:ascii="仿宋" w:hAnsi="仿宋" w:eastAsia="仿宋"/>
          <w:sz w:val="18"/>
          <w:szCs w:val="18"/>
          <w:highlight w:val="none"/>
        </w:rPr>
      </w:pPr>
      <w:r>
        <w:rPr>
          <w:rFonts w:hint="eastAsia" w:ascii="仿宋" w:hAnsi="仿宋" w:eastAsia="仿宋"/>
          <w:sz w:val="18"/>
          <w:szCs w:val="18"/>
          <w:highlight w:val="none"/>
        </w:rPr>
        <w:t>本理财计划类型为非保本浮动收益类，在资产组合无法正常处置的情况下，须根据资产实际出让或处分情况来计算投资者应得本金及理财收益；在资产组合项下资产全部亏损的最不利情况下，投资者本金将全部损失。</w:t>
      </w:r>
    </w:p>
    <w:p w14:paraId="726C6B6B">
      <w:pPr>
        <w:rPr>
          <w:rFonts w:ascii="仿宋" w:hAnsi="仿宋" w:eastAsia="仿宋"/>
          <w:b/>
          <w:sz w:val="28"/>
          <w:szCs w:val="28"/>
          <w:highlight w:val="none"/>
        </w:rPr>
      </w:pPr>
      <w:r>
        <w:rPr>
          <w:rFonts w:hint="eastAsia" w:ascii="仿宋" w:hAnsi="仿宋" w:eastAsia="仿宋"/>
          <w:b/>
          <w:sz w:val="28"/>
          <w:szCs w:val="28"/>
          <w:highlight w:val="none"/>
        </w:rPr>
        <w:t>五、理财产品的估值</w:t>
      </w:r>
    </w:p>
    <w:p w14:paraId="29927E7F">
      <w:pPr>
        <w:rPr>
          <w:rFonts w:ascii="仿宋" w:hAnsi="仿宋" w:eastAsia="仿宋"/>
          <w:sz w:val="18"/>
          <w:szCs w:val="18"/>
          <w:highlight w:val="none"/>
        </w:rPr>
      </w:pPr>
      <w:r>
        <w:rPr>
          <w:rFonts w:hint="eastAsia" w:ascii="仿宋" w:hAnsi="仿宋" w:eastAsia="仿宋"/>
          <w:sz w:val="18"/>
          <w:szCs w:val="18"/>
          <w:highlight w:val="none"/>
        </w:rPr>
        <w:t>1.估值目的</w:t>
      </w:r>
    </w:p>
    <w:p w14:paraId="0BC0ECBE">
      <w:pPr>
        <w:rPr>
          <w:rFonts w:ascii="仿宋" w:hAnsi="仿宋" w:eastAsia="仿宋"/>
          <w:sz w:val="18"/>
          <w:szCs w:val="18"/>
          <w:highlight w:val="none"/>
        </w:rPr>
      </w:pPr>
      <w:r>
        <w:rPr>
          <w:rFonts w:hint="eastAsia" w:ascii="仿宋" w:hAnsi="仿宋" w:eastAsia="仿宋"/>
          <w:sz w:val="18"/>
          <w:szCs w:val="18"/>
          <w:highlight w:val="none"/>
        </w:rPr>
        <w:t>估值目的是为了准确、真实地反映资产相关金融资产和金融负债的公允价值。总资产净值是指资产总值减去负债后的价值。总资产净值的计算以元为单位保留到小数点后2位，小数点后第3位四舍五入。理财产品份额净值的计算，保留到小数点后6位，第7位四舍五入。</w:t>
      </w:r>
    </w:p>
    <w:p w14:paraId="48C85F1E">
      <w:pPr>
        <w:rPr>
          <w:rFonts w:ascii="仿宋" w:hAnsi="仿宋" w:eastAsia="仿宋"/>
          <w:sz w:val="18"/>
          <w:szCs w:val="18"/>
          <w:highlight w:val="none"/>
        </w:rPr>
      </w:pPr>
      <w:r>
        <w:rPr>
          <w:rFonts w:hint="eastAsia" w:ascii="仿宋" w:hAnsi="仿宋" w:eastAsia="仿宋"/>
          <w:sz w:val="18"/>
          <w:szCs w:val="18"/>
          <w:highlight w:val="none"/>
        </w:rPr>
        <w:t>2.估值时间</w:t>
      </w:r>
    </w:p>
    <w:p w14:paraId="5EA01FFE">
      <w:pPr>
        <w:rPr>
          <w:rFonts w:hint="eastAsia" w:ascii="仿宋" w:hAnsi="仿宋" w:eastAsia="仿宋"/>
          <w:sz w:val="18"/>
          <w:szCs w:val="18"/>
          <w:highlight w:val="none"/>
        </w:rPr>
      </w:pPr>
      <w:r>
        <w:rPr>
          <w:rFonts w:hint="eastAsia" w:ascii="仿宋" w:hAnsi="仿宋" w:eastAsia="仿宋"/>
          <w:sz w:val="18"/>
          <w:szCs w:val="18"/>
          <w:highlight w:val="none"/>
        </w:rPr>
        <w:t>每工作日（</w:t>
      </w:r>
      <w:r>
        <w:rPr>
          <w:rFonts w:ascii="仿宋" w:hAnsi="仿宋" w:eastAsia="仿宋"/>
          <w:sz w:val="18"/>
          <w:szCs w:val="18"/>
          <w:highlight w:val="none"/>
        </w:rPr>
        <w:t>T</w:t>
      </w:r>
      <w:r>
        <w:rPr>
          <w:rFonts w:hint="eastAsia" w:ascii="仿宋" w:hAnsi="仿宋" w:eastAsia="仿宋"/>
          <w:sz w:val="18"/>
          <w:szCs w:val="18"/>
          <w:highlight w:val="none"/>
        </w:rPr>
        <w:t>日）对上一个工作日的资产净值进行估值。</w:t>
      </w:r>
    </w:p>
    <w:p w14:paraId="7DB119F3">
      <w:pPr>
        <w:keepNext w:val="0"/>
        <w:keepLines w:val="0"/>
        <w:widowControl/>
        <w:suppressLineNumbers w:val="0"/>
        <w:jc w:val="left"/>
        <w:rPr>
          <w:rFonts w:hint="default" w:ascii="仿宋" w:hAnsi="仿宋" w:eastAsia="仿宋"/>
          <w:sz w:val="18"/>
          <w:szCs w:val="18"/>
          <w:highlight w:val="none"/>
          <w:lang w:val="en-US" w:eastAsia="zh-CN"/>
        </w:rPr>
      </w:pPr>
      <w:r>
        <w:rPr>
          <w:rFonts w:hint="eastAsia" w:ascii="仿宋" w:hAnsi="仿宋" w:eastAsia="仿宋"/>
          <w:sz w:val="18"/>
          <w:szCs w:val="18"/>
          <w:highlight w:val="none"/>
          <w:lang w:val="en-US" w:eastAsia="zh-CN"/>
        </w:rPr>
        <w:t>3.估值原则</w:t>
      </w:r>
    </w:p>
    <w:p w14:paraId="743516A7">
      <w:pPr>
        <w:rPr>
          <w:rFonts w:hint="eastAsia" w:ascii="仿宋" w:hAnsi="仿宋" w:eastAsia="仿宋" w:cs="Times New Roman"/>
          <w:sz w:val="18"/>
          <w:szCs w:val="18"/>
          <w:highlight w:val="none"/>
        </w:rPr>
      </w:pPr>
      <w:r>
        <w:rPr>
          <w:rFonts w:hint="eastAsia" w:ascii="仿宋" w:hAnsi="仿宋" w:eastAsia="仿宋" w:cs="Times New Roman"/>
          <w:sz w:val="18"/>
          <w:szCs w:val="18"/>
          <w:highlight w:val="none"/>
          <w:lang w:val="en-US" w:eastAsia="zh-CN"/>
        </w:rPr>
        <w:t xml:space="preserve">实行净值化管理，按照《企业会计准则》等监管要求确认和计量理财产品的资产与负债，生成理财产品净值。其中，金融工具的公允价值确定遵循以下基本原则： </w:t>
      </w:r>
    </w:p>
    <w:p w14:paraId="79630BBC">
      <w:pPr>
        <w:rPr>
          <w:rFonts w:hint="eastAsia" w:ascii="仿宋" w:hAnsi="仿宋" w:eastAsia="仿宋" w:cs="Times New Roman"/>
          <w:sz w:val="18"/>
          <w:szCs w:val="18"/>
          <w:highlight w:val="none"/>
        </w:rPr>
      </w:pPr>
      <w:r>
        <w:rPr>
          <w:rFonts w:ascii="仿宋" w:hAnsi="仿宋" w:eastAsia="仿宋"/>
          <w:color w:val="auto"/>
          <w:kern w:val="2"/>
          <w:sz w:val="18"/>
          <w:szCs w:val="18"/>
          <w:highlight w:val="none"/>
        </w:rPr>
        <w:t>（1）</w:t>
      </w:r>
      <w:r>
        <w:rPr>
          <w:rFonts w:hint="eastAsia" w:ascii="仿宋" w:hAnsi="仿宋" w:eastAsia="仿宋" w:cs="Times New Roman"/>
          <w:sz w:val="18"/>
          <w:szCs w:val="18"/>
          <w:highlight w:val="none"/>
          <w:lang w:val="en-US" w:eastAsia="zh-CN"/>
        </w:rPr>
        <w:t xml:space="preserve">公允价值计量原则 </w:t>
      </w:r>
    </w:p>
    <w:p w14:paraId="04547413">
      <w:pPr>
        <w:rPr>
          <w:rFonts w:hint="eastAsia" w:ascii="仿宋" w:hAnsi="仿宋" w:eastAsia="仿宋" w:cs="Times New Roman"/>
          <w:sz w:val="18"/>
          <w:szCs w:val="18"/>
          <w:highlight w:val="none"/>
        </w:rPr>
      </w:pPr>
      <w:r>
        <w:rPr>
          <w:rFonts w:hint="eastAsia" w:ascii="仿宋" w:hAnsi="仿宋" w:eastAsia="仿宋" w:cs="Times New Roman"/>
          <w:sz w:val="18"/>
          <w:szCs w:val="18"/>
          <w:highlight w:val="none"/>
          <w:lang w:val="en-US" w:eastAsia="zh-CN"/>
        </w:rPr>
        <w:t xml:space="preserve">估值应及时反映金融工具的风险和收益。 </w:t>
      </w:r>
    </w:p>
    <w:p w14:paraId="5663E7E4">
      <w:pPr>
        <w:rPr>
          <w:rFonts w:hint="eastAsia" w:ascii="仿宋" w:hAnsi="仿宋" w:eastAsia="仿宋" w:cs="Times New Roman"/>
          <w:sz w:val="18"/>
          <w:szCs w:val="18"/>
          <w:highlight w:val="none"/>
        </w:rPr>
      </w:pPr>
      <w:r>
        <w:rPr>
          <w:rFonts w:ascii="仿宋" w:hAnsi="仿宋" w:eastAsia="仿宋"/>
          <w:color w:val="auto"/>
          <w:kern w:val="2"/>
          <w:sz w:val="18"/>
          <w:szCs w:val="18"/>
          <w:highlight w:val="none"/>
        </w:rPr>
        <w:t>（</w:t>
      </w:r>
      <w:r>
        <w:rPr>
          <w:rFonts w:hint="eastAsia" w:ascii="仿宋" w:hAnsi="仿宋" w:eastAsia="仿宋"/>
          <w:color w:val="auto"/>
          <w:kern w:val="2"/>
          <w:sz w:val="18"/>
          <w:szCs w:val="18"/>
          <w:highlight w:val="none"/>
          <w:lang w:val="en-US" w:eastAsia="zh-CN"/>
        </w:rPr>
        <w:t>2</w:t>
      </w:r>
      <w:r>
        <w:rPr>
          <w:rFonts w:ascii="仿宋" w:hAnsi="仿宋" w:eastAsia="仿宋"/>
          <w:color w:val="auto"/>
          <w:kern w:val="2"/>
          <w:sz w:val="18"/>
          <w:szCs w:val="18"/>
          <w:highlight w:val="none"/>
        </w:rPr>
        <w:t>）</w:t>
      </w:r>
      <w:r>
        <w:rPr>
          <w:rFonts w:hint="eastAsia" w:ascii="仿宋" w:hAnsi="仿宋" w:eastAsia="仿宋" w:cs="Times New Roman"/>
          <w:sz w:val="18"/>
          <w:szCs w:val="18"/>
          <w:highlight w:val="none"/>
          <w:lang w:val="en-US" w:eastAsia="zh-CN"/>
        </w:rPr>
        <w:t xml:space="preserve">一致性原则 </w:t>
      </w:r>
    </w:p>
    <w:p w14:paraId="5207D221">
      <w:pPr>
        <w:rPr>
          <w:rFonts w:hint="eastAsia" w:ascii="仿宋" w:hAnsi="仿宋" w:eastAsia="仿宋" w:cs="Times New Roman"/>
          <w:sz w:val="18"/>
          <w:szCs w:val="18"/>
          <w:highlight w:val="none"/>
        </w:rPr>
      </w:pPr>
      <w:r>
        <w:rPr>
          <w:rFonts w:hint="eastAsia" w:ascii="仿宋" w:hAnsi="仿宋" w:eastAsia="仿宋" w:cs="Times New Roman"/>
          <w:sz w:val="18"/>
          <w:szCs w:val="18"/>
          <w:highlight w:val="none"/>
          <w:lang w:val="en-US" w:eastAsia="zh-CN"/>
        </w:rPr>
        <w:t xml:space="preserve">同类型产品中同一类别金融工具应采用一致的估值方法。估值方法一经确定，应保持稳定，不能随意变更，除非变更估值方法能使估值结果在当前情况下同样或者更能代表公允价值。 </w:t>
      </w:r>
    </w:p>
    <w:p w14:paraId="060F53D6">
      <w:pPr>
        <w:rPr>
          <w:rFonts w:hint="eastAsia" w:ascii="仿宋" w:hAnsi="仿宋" w:eastAsia="仿宋" w:cs="Times New Roman"/>
          <w:sz w:val="18"/>
          <w:szCs w:val="18"/>
          <w:highlight w:val="none"/>
        </w:rPr>
      </w:pPr>
      <w:r>
        <w:rPr>
          <w:rFonts w:ascii="仿宋" w:hAnsi="仿宋" w:eastAsia="仿宋"/>
          <w:color w:val="auto"/>
          <w:kern w:val="2"/>
          <w:sz w:val="18"/>
          <w:szCs w:val="18"/>
          <w:highlight w:val="none"/>
        </w:rPr>
        <w:t>（</w:t>
      </w:r>
      <w:r>
        <w:rPr>
          <w:rFonts w:hint="eastAsia" w:ascii="仿宋" w:hAnsi="仿宋" w:eastAsia="仿宋"/>
          <w:color w:val="auto"/>
          <w:kern w:val="2"/>
          <w:sz w:val="18"/>
          <w:szCs w:val="18"/>
          <w:highlight w:val="none"/>
          <w:lang w:val="en-US" w:eastAsia="zh-CN"/>
        </w:rPr>
        <w:t>3</w:t>
      </w:r>
      <w:r>
        <w:rPr>
          <w:rFonts w:ascii="仿宋" w:hAnsi="仿宋" w:eastAsia="仿宋"/>
          <w:color w:val="auto"/>
          <w:kern w:val="2"/>
          <w:sz w:val="18"/>
          <w:szCs w:val="18"/>
          <w:highlight w:val="none"/>
        </w:rPr>
        <w:t>）</w:t>
      </w:r>
      <w:r>
        <w:rPr>
          <w:rFonts w:hint="eastAsia" w:ascii="仿宋" w:hAnsi="仿宋" w:eastAsia="仿宋" w:cs="Times New Roman"/>
          <w:sz w:val="18"/>
          <w:szCs w:val="18"/>
          <w:highlight w:val="none"/>
          <w:lang w:val="en-US" w:eastAsia="zh-CN"/>
        </w:rPr>
        <w:t xml:space="preserve">审慎性原则 </w:t>
      </w:r>
    </w:p>
    <w:p w14:paraId="33CD119F">
      <w:pPr>
        <w:rPr>
          <w:rFonts w:hint="eastAsia" w:ascii="仿宋" w:hAnsi="仿宋" w:eastAsia="仿宋" w:cs="Times New Roman"/>
          <w:sz w:val="18"/>
          <w:szCs w:val="18"/>
          <w:highlight w:val="none"/>
        </w:rPr>
      </w:pPr>
      <w:r>
        <w:rPr>
          <w:rFonts w:hint="eastAsia" w:ascii="仿宋" w:hAnsi="仿宋" w:eastAsia="仿宋" w:cs="Times New Roman"/>
          <w:sz w:val="18"/>
          <w:szCs w:val="18"/>
          <w:highlight w:val="none"/>
          <w:lang w:val="en-US" w:eastAsia="zh-CN"/>
        </w:rPr>
        <w:t xml:space="preserve">充分审慎考虑影响估值结果的风险因素，确保估值方法、模型、假设、参数来源及估值结果的合理性。 </w:t>
      </w:r>
    </w:p>
    <w:p w14:paraId="794058F3">
      <w:pPr>
        <w:rPr>
          <w:rFonts w:hint="eastAsia" w:ascii="仿宋" w:hAnsi="仿宋" w:eastAsia="仿宋" w:cs="Times New Roman"/>
          <w:sz w:val="18"/>
          <w:szCs w:val="18"/>
          <w:highlight w:val="none"/>
        </w:rPr>
      </w:pPr>
      <w:r>
        <w:rPr>
          <w:rFonts w:ascii="仿宋" w:hAnsi="仿宋" w:eastAsia="仿宋"/>
          <w:color w:val="auto"/>
          <w:kern w:val="2"/>
          <w:sz w:val="18"/>
          <w:szCs w:val="18"/>
          <w:highlight w:val="none"/>
        </w:rPr>
        <w:t>（</w:t>
      </w:r>
      <w:r>
        <w:rPr>
          <w:rFonts w:hint="eastAsia" w:ascii="仿宋" w:hAnsi="仿宋" w:eastAsia="仿宋"/>
          <w:color w:val="auto"/>
          <w:kern w:val="2"/>
          <w:sz w:val="18"/>
          <w:szCs w:val="18"/>
          <w:highlight w:val="none"/>
          <w:lang w:val="en-US" w:eastAsia="zh-CN"/>
        </w:rPr>
        <w:t>4</w:t>
      </w:r>
      <w:r>
        <w:rPr>
          <w:rFonts w:ascii="仿宋" w:hAnsi="仿宋" w:eastAsia="仿宋"/>
          <w:color w:val="auto"/>
          <w:kern w:val="2"/>
          <w:sz w:val="18"/>
          <w:szCs w:val="18"/>
          <w:highlight w:val="none"/>
        </w:rPr>
        <w:t>）</w:t>
      </w:r>
      <w:r>
        <w:rPr>
          <w:rFonts w:hint="eastAsia" w:ascii="仿宋" w:hAnsi="仿宋" w:eastAsia="仿宋" w:cs="Times New Roman"/>
          <w:sz w:val="18"/>
          <w:szCs w:val="18"/>
          <w:highlight w:val="none"/>
          <w:lang w:val="en-US" w:eastAsia="zh-CN"/>
        </w:rPr>
        <w:t xml:space="preserve">可靠性原则 </w:t>
      </w:r>
    </w:p>
    <w:p w14:paraId="1939648D">
      <w:pPr>
        <w:rPr>
          <w:highlight w:val="none"/>
        </w:rPr>
      </w:pPr>
      <w:r>
        <w:rPr>
          <w:rFonts w:hint="eastAsia" w:ascii="仿宋" w:hAnsi="仿宋" w:eastAsia="仿宋" w:cs="Times New Roman"/>
          <w:sz w:val="18"/>
          <w:szCs w:val="18"/>
          <w:highlight w:val="none"/>
          <w:lang w:val="en-US" w:eastAsia="zh-CN"/>
        </w:rPr>
        <w:t>进行公允价值评估时，尽可能运用相关的、可靠的、可观察的估值参数进行估值，确保估值的可靠性。</w:t>
      </w:r>
    </w:p>
    <w:p w14:paraId="21FBB919">
      <w:pPr>
        <w:rPr>
          <w:rFonts w:ascii="仿宋" w:hAnsi="仿宋" w:eastAsia="仿宋"/>
          <w:sz w:val="18"/>
          <w:szCs w:val="18"/>
          <w:highlight w:val="none"/>
        </w:rPr>
      </w:pPr>
      <w:r>
        <w:rPr>
          <w:rFonts w:hint="eastAsia" w:ascii="仿宋" w:hAnsi="仿宋" w:eastAsia="仿宋"/>
          <w:sz w:val="18"/>
          <w:szCs w:val="18"/>
          <w:highlight w:val="none"/>
          <w:lang w:val="en-US" w:eastAsia="zh-CN"/>
        </w:rPr>
        <w:t>4</w:t>
      </w:r>
      <w:r>
        <w:rPr>
          <w:rFonts w:hint="eastAsia" w:ascii="仿宋" w:hAnsi="仿宋" w:eastAsia="仿宋"/>
          <w:sz w:val="18"/>
          <w:szCs w:val="18"/>
          <w:highlight w:val="none"/>
        </w:rPr>
        <w:t>.估值方法</w:t>
      </w:r>
    </w:p>
    <w:p w14:paraId="0DFC879F">
      <w:pPr>
        <w:rPr>
          <w:rFonts w:ascii="仿宋" w:hAnsi="仿宋" w:eastAsia="仿宋"/>
          <w:sz w:val="18"/>
          <w:szCs w:val="18"/>
          <w:highlight w:val="none"/>
        </w:rPr>
      </w:pPr>
      <w:r>
        <w:rPr>
          <w:rFonts w:hint="eastAsia" w:ascii="仿宋" w:hAnsi="仿宋" w:eastAsia="仿宋"/>
          <w:sz w:val="18"/>
          <w:szCs w:val="18"/>
          <w:highlight w:val="none"/>
        </w:rPr>
        <w:t>估值应符合《企业会计准则》和《关于规范金融机构资产管理业务的指导意见》相关规定中的估值原则以及其他法律、法规的规定，如法律法规未做明确规定的，参照行业通行做法处理。本理财产品按照下述方法估值：</w:t>
      </w:r>
    </w:p>
    <w:p w14:paraId="7B3DD935">
      <w:pPr>
        <w:rPr>
          <w:rFonts w:ascii="仿宋" w:hAnsi="仿宋" w:eastAsia="仿宋"/>
          <w:sz w:val="18"/>
          <w:szCs w:val="18"/>
          <w:highlight w:val="none"/>
        </w:rPr>
      </w:pPr>
      <w:r>
        <w:rPr>
          <w:rFonts w:hint="eastAsia" w:ascii="仿宋" w:hAnsi="仿宋" w:eastAsia="仿宋"/>
          <w:sz w:val="18"/>
          <w:szCs w:val="18"/>
          <w:highlight w:val="none"/>
        </w:rPr>
        <w:t>（1）债券在全国银行间债券市场或证券交易所市场交易，采用公允价值计量；未上市债券及其他固定收益类资产,参照中国银行业协会下发的《理财产品估值操作指南》执行。</w:t>
      </w:r>
    </w:p>
    <w:p w14:paraId="409B55F7">
      <w:pPr>
        <w:rPr>
          <w:rFonts w:ascii="仿宋" w:hAnsi="仿宋" w:eastAsia="仿宋"/>
          <w:sz w:val="18"/>
          <w:szCs w:val="18"/>
          <w:highlight w:val="none"/>
        </w:rPr>
      </w:pPr>
      <w:r>
        <w:rPr>
          <w:rFonts w:hint="eastAsia" w:ascii="仿宋" w:hAnsi="仿宋" w:eastAsia="仿宋"/>
          <w:sz w:val="18"/>
          <w:szCs w:val="18"/>
          <w:highlight w:val="none"/>
        </w:rPr>
        <w:t>（</w:t>
      </w:r>
      <w:r>
        <w:rPr>
          <w:rFonts w:ascii="仿宋" w:hAnsi="仿宋" w:eastAsia="仿宋"/>
          <w:sz w:val="18"/>
          <w:szCs w:val="18"/>
          <w:highlight w:val="none"/>
        </w:rPr>
        <w:t>2</w:t>
      </w:r>
      <w:r>
        <w:rPr>
          <w:rFonts w:hint="eastAsia" w:ascii="仿宋" w:hAnsi="仿宋" w:eastAsia="仿宋"/>
          <w:sz w:val="18"/>
          <w:szCs w:val="18"/>
          <w:highlight w:val="none"/>
        </w:rPr>
        <w:t>）银行存款（活期、定期）及证券资金账户存款按照约定利率在持有期内逐日计提应收利息，在利息到账日以实收利息入账。</w:t>
      </w:r>
    </w:p>
    <w:p w14:paraId="5862ADD4">
      <w:pPr>
        <w:rPr>
          <w:rFonts w:hint="eastAsia" w:ascii="仿宋" w:hAnsi="仿宋" w:eastAsia="仿宋"/>
          <w:sz w:val="18"/>
          <w:szCs w:val="18"/>
          <w:highlight w:val="none"/>
        </w:rPr>
      </w:pPr>
      <w:r>
        <w:rPr>
          <w:rFonts w:hint="eastAsia" w:ascii="仿宋" w:hAnsi="仿宋" w:eastAsia="仿宋"/>
          <w:sz w:val="18"/>
          <w:szCs w:val="18"/>
          <w:highlight w:val="none"/>
        </w:rPr>
        <w:t>（</w:t>
      </w:r>
      <w:r>
        <w:rPr>
          <w:rFonts w:ascii="仿宋" w:hAnsi="仿宋" w:eastAsia="仿宋"/>
          <w:sz w:val="18"/>
          <w:szCs w:val="18"/>
          <w:highlight w:val="none"/>
        </w:rPr>
        <w:t>3</w:t>
      </w:r>
      <w:r>
        <w:rPr>
          <w:rFonts w:hint="eastAsia" w:ascii="仿宋" w:hAnsi="仿宋" w:eastAsia="仿宋"/>
          <w:sz w:val="18"/>
          <w:szCs w:val="18"/>
          <w:highlight w:val="none"/>
        </w:rPr>
        <w:t>）债券回购和具有固定回报的买入返售金融资产：以买入/外放成本列示，按约定收益率逐日计提收益/成本。</w:t>
      </w:r>
    </w:p>
    <w:p w14:paraId="538DD230">
      <w:pPr>
        <w:rPr>
          <w:rFonts w:hint="eastAsia" w:ascii="仿宋" w:hAnsi="仿宋" w:eastAsia="仿宋" w:cs="Times New Roman"/>
          <w:sz w:val="18"/>
          <w:szCs w:val="18"/>
          <w:highlight w:val="none"/>
        </w:rPr>
      </w:pPr>
      <w:r>
        <w:rPr>
          <w:rFonts w:hint="eastAsia" w:ascii="仿宋" w:hAnsi="仿宋" w:eastAsia="仿宋" w:cs="Times New Roman"/>
          <w:sz w:val="18"/>
          <w:szCs w:val="18"/>
          <w:highlight w:val="none"/>
        </w:rPr>
        <w:t>（</w:t>
      </w:r>
      <w:r>
        <w:rPr>
          <w:rFonts w:hint="eastAsia" w:ascii="仿宋" w:hAnsi="仿宋" w:eastAsia="仿宋" w:cs="Times New Roman"/>
          <w:sz w:val="18"/>
          <w:szCs w:val="18"/>
          <w:highlight w:val="none"/>
          <w:lang w:val="en-US" w:eastAsia="zh-CN"/>
        </w:rPr>
        <w:t>4</w:t>
      </w:r>
      <w:r>
        <w:rPr>
          <w:rFonts w:hint="eastAsia" w:ascii="仿宋" w:hAnsi="仿宋" w:eastAsia="仿宋" w:cs="Times New Roman"/>
          <w:sz w:val="18"/>
          <w:szCs w:val="18"/>
          <w:highlight w:val="none"/>
        </w:rPr>
        <w:t>）</w:t>
      </w:r>
      <w:r>
        <w:rPr>
          <w:rFonts w:hint="eastAsia" w:ascii="仿宋" w:hAnsi="仿宋" w:eastAsia="仿宋" w:cs="Times New Roman"/>
          <w:sz w:val="18"/>
          <w:szCs w:val="18"/>
          <w:highlight w:val="none"/>
          <w:lang w:val="en-US" w:eastAsia="zh-CN"/>
        </w:rPr>
        <w:t xml:space="preserve">非标准化债权类资产的估值，对于符合监管要求的非标准化债权类资产，按摊余成本法进行计量；其余非标准化债权类资产，按市价法估值，市价法不能确定其公允价值的，采用估值技术进行估值。 </w:t>
      </w:r>
    </w:p>
    <w:p w14:paraId="08536E89">
      <w:pPr>
        <w:rPr>
          <w:rFonts w:hint="eastAsia" w:ascii="仿宋" w:hAnsi="仿宋" w:eastAsia="仿宋" w:cs="Times New Roman"/>
          <w:sz w:val="18"/>
          <w:szCs w:val="18"/>
          <w:highlight w:val="none"/>
        </w:rPr>
      </w:pPr>
      <w:r>
        <w:rPr>
          <w:rFonts w:hint="eastAsia" w:ascii="仿宋" w:hAnsi="仿宋" w:eastAsia="仿宋" w:cs="Times New Roman"/>
          <w:sz w:val="18"/>
          <w:szCs w:val="18"/>
          <w:highlight w:val="none"/>
        </w:rPr>
        <w:t>（</w:t>
      </w:r>
      <w:r>
        <w:rPr>
          <w:rFonts w:hint="eastAsia" w:ascii="仿宋" w:hAnsi="仿宋" w:eastAsia="仿宋" w:cs="Times New Roman"/>
          <w:sz w:val="18"/>
          <w:szCs w:val="18"/>
          <w:highlight w:val="none"/>
          <w:lang w:val="en-US" w:eastAsia="zh-CN"/>
        </w:rPr>
        <w:t>5</w:t>
      </w:r>
      <w:r>
        <w:rPr>
          <w:rFonts w:hint="eastAsia" w:ascii="仿宋" w:hAnsi="仿宋" w:eastAsia="仿宋" w:cs="Times New Roman"/>
          <w:sz w:val="18"/>
          <w:szCs w:val="18"/>
          <w:highlight w:val="none"/>
        </w:rPr>
        <w:t>）</w:t>
      </w:r>
      <w:r>
        <w:rPr>
          <w:rFonts w:hint="eastAsia" w:ascii="仿宋" w:hAnsi="仿宋" w:eastAsia="仿宋" w:cs="Times New Roman"/>
          <w:sz w:val="18"/>
          <w:szCs w:val="18"/>
          <w:highlight w:val="none"/>
          <w:lang w:val="en-US" w:eastAsia="zh-CN"/>
        </w:rPr>
        <w:t xml:space="preserve">证券投资基金的估值。投资于非上市基金，境内非货币市场基金，按所投资基金估值日的份额净值估值，估值日未披露净值，以其最近公布的基金份额净值为基础估值；境内货币市场基金，按所投资基金前一估值日后至估值日期间（含节假日）的万份收益计提估值日基金收益。 </w:t>
      </w:r>
    </w:p>
    <w:p w14:paraId="7C30E475">
      <w:pPr>
        <w:rPr>
          <w:rFonts w:hint="eastAsia" w:ascii="仿宋" w:hAnsi="仿宋" w:eastAsia="仿宋" w:cs="Times New Roman"/>
          <w:sz w:val="18"/>
          <w:szCs w:val="18"/>
          <w:highlight w:val="none"/>
        </w:rPr>
      </w:pPr>
      <w:r>
        <w:rPr>
          <w:rFonts w:hint="eastAsia" w:ascii="仿宋" w:hAnsi="仿宋" w:eastAsia="仿宋" w:cs="Times New Roman"/>
          <w:sz w:val="18"/>
          <w:szCs w:val="18"/>
          <w:highlight w:val="none"/>
          <w:lang w:val="en-US" w:eastAsia="zh-CN"/>
        </w:rPr>
        <w:t>投资于交易所上市基金。ETF基金、境内上市开放式基金（LOF）、境内上市定期开放式基金、封闭式基金，按所投资基金估值日的收盘价估值；境内上市交易型货币市场基金，如所投资基金披露份额净值，则按所投资基金估值日的份额净值估值；如所投资基金披露万份（百份）收益，则按所投资基金前一估值日后至估值日期间（含节假日）的万份（百份）收益计提估值日基金收益；如遇所投资基金不公布基金份额净值、进行折算或拆分、估值日无交易等特殊情况，以其最近公布的基金份额净值或收盘价为基础估值。</w:t>
      </w:r>
    </w:p>
    <w:p w14:paraId="78668008">
      <w:pPr>
        <w:rPr>
          <w:rFonts w:ascii="仿宋" w:hAnsi="仿宋" w:eastAsia="仿宋"/>
          <w:sz w:val="18"/>
          <w:szCs w:val="18"/>
          <w:highlight w:val="none"/>
        </w:rPr>
      </w:pPr>
      <w:r>
        <w:rPr>
          <w:rFonts w:hint="eastAsia" w:ascii="仿宋" w:hAnsi="仿宋" w:eastAsia="仿宋"/>
          <w:sz w:val="18"/>
          <w:szCs w:val="18"/>
          <w:highlight w:val="none"/>
        </w:rPr>
        <w:t>（</w:t>
      </w:r>
      <w:r>
        <w:rPr>
          <w:rFonts w:hint="eastAsia" w:ascii="仿宋" w:hAnsi="仿宋" w:eastAsia="仿宋"/>
          <w:sz w:val="18"/>
          <w:szCs w:val="18"/>
          <w:highlight w:val="none"/>
          <w:lang w:val="en-US" w:eastAsia="zh-CN"/>
        </w:rPr>
        <w:t>6</w:t>
      </w:r>
      <w:r>
        <w:rPr>
          <w:rFonts w:hint="eastAsia" w:ascii="仿宋" w:hAnsi="仿宋" w:eastAsia="仿宋"/>
          <w:sz w:val="18"/>
          <w:szCs w:val="18"/>
          <w:highlight w:val="none"/>
        </w:rPr>
        <w:t>）如有确凿证据表明按上述方法进行估值不能客观反映其公允价值的，资产管理人可根据具体情况与资产托管人商定后，按最能反映公允价值的价格估值。</w:t>
      </w:r>
    </w:p>
    <w:p w14:paraId="2EB2B756">
      <w:pPr>
        <w:rPr>
          <w:rFonts w:ascii="仿宋" w:hAnsi="仿宋" w:eastAsia="仿宋"/>
          <w:sz w:val="18"/>
          <w:szCs w:val="18"/>
          <w:highlight w:val="none"/>
        </w:rPr>
      </w:pPr>
      <w:r>
        <w:rPr>
          <w:rFonts w:hint="eastAsia" w:ascii="仿宋" w:hAnsi="仿宋" w:eastAsia="仿宋"/>
          <w:sz w:val="18"/>
          <w:szCs w:val="18"/>
          <w:highlight w:val="none"/>
        </w:rPr>
        <w:t>（</w:t>
      </w:r>
      <w:r>
        <w:rPr>
          <w:rFonts w:hint="eastAsia" w:ascii="仿宋" w:hAnsi="仿宋" w:eastAsia="仿宋"/>
          <w:sz w:val="18"/>
          <w:szCs w:val="18"/>
          <w:highlight w:val="none"/>
          <w:lang w:val="en-US" w:eastAsia="zh-CN"/>
        </w:rPr>
        <w:t>7</w:t>
      </w:r>
      <w:r>
        <w:rPr>
          <w:rFonts w:hint="eastAsia" w:ascii="仿宋" w:hAnsi="仿宋" w:eastAsia="仿宋"/>
          <w:sz w:val="18"/>
          <w:szCs w:val="18"/>
          <w:highlight w:val="none"/>
        </w:rPr>
        <w:t>）相关法律法规以及监管部门有强制规定的，从其规定。如有新增事项，按国家最新规定估值。</w:t>
      </w:r>
    </w:p>
    <w:p w14:paraId="105C96BA">
      <w:pPr>
        <w:rPr>
          <w:rFonts w:ascii="仿宋" w:hAnsi="仿宋" w:eastAsia="仿宋"/>
          <w:sz w:val="18"/>
          <w:szCs w:val="18"/>
          <w:highlight w:val="none"/>
        </w:rPr>
      </w:pPr>
      <w:r>
        <w:rPr>
          <w:rFonts w:hint="eastAsia" w:ascii="仿宋" w:hAnsi="仿宋" w:eastAsia="仿宋"/>
          <w:sz w:val="18"/>
          <w:szCs w:val="18"/>
          <w:highlight w:val="none"/>
          <w:lang w:val="en-US" w:eastAsia="zh-CN"/>
        </w:rPr>
        <w:t>5</w:t>
      </w:r>
      <w:r>
        <w:rPr>
          <w:rFonts w:hint="eastAsia" w:ascii="仿宋" w:hAnsi="仿宋" w:eastAsia="仿宋"/>
          <w:sz w:val="18"/>
          <w:szCs w:val="18"/>
          <w:highlight w:val="none"/>
        </w:rPr>
        <w:t>.估值错误、调整及暂停的处理</w:t>
      </w:r>
    </w:p>
    <w:p w14:paraId="02BD0AA1">
      <w:pPr>
        <w:rPr>
          <w:rFonts w:ascii="仿宋" w:hAnsi="仿宋" w:eastAsia="仿宋"/>
          <w:sz w:val="18"/>
          <w:szCs w:val="18"/>
          <w:highlight w:val="none"/>
        </w:rPr>
      </w:pPr>
      <w:r>
        <w:rPr>
          <w:rFonts w:hint="eastAsia" w:ascii="仿宋" w:hAnsi="仿宋" w:eastAsia="仿宋"/>
          <w:sz w:val="18"/>
          <w:szCs w:val="18"/>
          <w:highlight w:val="none"/>
        </w:rPr>
        <w:t>（1）当资产估值出现错误时，采取合理的措施防止损失进一步扩大。当资产估值错误偏差达到资产净值的0.5%时，及时将错误情况及采取的措施报告资产委托人。</w:t>
      </w:r>
    </w:p>
    <w:p w14:paraId="02095AB6">
      <w:pPr>
        <w:rPr>
          <w:rFonts w:ascii="仿宋" w:hAnsi="仿宋" w:eastAsia="仿宋"/>
          <w:sz w:val="18"/>
          <w:szCs w:val="18"/>
          <w:highlight w:val="none"/>
        </w:rPr>
      </w:pPr>
      <w:r>
        <w:rPr>
          <w:rFonts w:hint="eastAsia" w:ascii="仿宋" w:hAnsi="仿宋" w:eastAsia="仿宋"/>
          <w:sz w:val="18"/>
          <w:szCs w:val="18"/>
          <w:highlight w:val="none"/>
        </w:rPr>
        <w:t>（2）上述估值方法如有变动，或有更适合的估值方法，应根据具体情况在新的估值方法实施前</w:t>
      </w:r>
      <w:r>
        <w:rPr>
          <w:rFonts w:ascii="仿宋" w:hAnsi="仿宋" w:eastAsia="仿宋"/>
          <w:sz w:val="18"/>
          <w:szCs w:val="18"/>
          <w:highlight w:val="none"/>
        </w:rPr>
        <w:t>3</w:t>
      </w:r>
      <w:r>
        <w:rPr>
          <w:rFonts w:hint="eastAsia" w:ascii="仿宋" w:hAnsi="仿宋" w:eastAsia="仿宋"/>
          <w:sz w:val="18"/>
          <w:szCs w:val="18"/>
          <w:highlight w:val="none"/>
        </w:rPr>
        <w:t>个工作日发布公告。</w:t>
      </w:r>
    </w:p>
    <w:p w14:paraId="0D878228">
      <w:pPr>
        <w:rPr>
          <w:rFonts w:ascii="仿宋" w:hAnsi="仿宋" w:eastAsia="仿宋"/>
          <w:sz w:val="18"/>
          <w:szCs w:val="18"/>
          <w:highlight w:val="none"/>
        </w:rPr>
      </w:pPr>
      <w:r>
        <w:rPr>
          <w:rFonts w:hint="eastAsia" w:ascii="仿宋" w:hAnsi="仿宋" w:eastAsia="仿宋"/>
          <w:sz w:val="18"/>
          <w:szCs w:val="18"/>
          <w:highlight w:val="none"/>
        </w:rPr>
        <w:t>（3）暂停估值的情形</w:t>
      </w:r>
    </w:p>
    <w:p w14:paraId="220E23DB">
      <w:pPr>
        <w:rPr>
          <w:rFonts w:hint="eastAsia" w:ascii="仿宋" w:hAnsi="仿宋" w:eastAsia="仿宋"/>
          <w:sz w:val="18"/>
          <w:szCs w:val="18"/>
          <w:highlight w:val="none"/>
        </w:rPr>
      </w:pPr>
      <w:r>
        <w:rPr>
          <w:rFonts w:hint="eastAsia" w:ascii="仿宋" w:hAnsi="仿宋" w:eastAsia="仿宋"/>
          <w:sz w:val="18"/>
          <w:szCs w:val="18"/>
          <w:highlight w:val="none"/>
        </w:rPr>
        <w:t>证券交易场所遇法定节假日或因其他原因暂停营业时；因不可抗力或其他情形致使无法准确评估资管计划财产价值时；中国证监会认定的其他情形。</w:t>
      </w:r>
    </w:p>
    <w:p w14:paraId="38E1FEC1">
      <w:pPr>
        <w:numPr>
          <w:ilvl w:val="0"/>
          <w:numId w:val="0"/>
        </w:numPr>
        <w:rPr>
          <w:rFonts w:hint="eastAsia" w:ascii="仿宋" w:hAnsi="仿宋" w:eastAsia="仿宋"/>
          <w:b/>
          <w:sz w:val="28"/>
          <w:szCs w:val="28"/>
          <w:highlight w:val="none"/>
          <w:lang w:val="en-US" w:eastAsia="zh-CN"/>
        </w:rPr>
      </w:pPr>
      <w:r>
        <w:rPr>
          <w:rFonts w:hint="eastAsia" w:ascii="仿宋" w:hAnsi="仿宋" w:eastAsia="仿宋"/>
          <w:b/>
          <w:kern w:val="2"/>
          <w:sz w:val="28"/>
          <w:szCs w:val="28"/>
          <w:highlight w:val="none"/>
          <w:lang w:val="en-US" w:eastAsia="zh-CN" w:bidi="ar-SA"/>
        </w:rPr>
        <w:t>六、</w:t>
      </w:r>
      <w:r>
        <w:rPr>
          <w:rFonts w:hint="eastAsia" w:ascii="仿宋" w:hAnsi="仿宋" w:eastAsia="仿宋"/>
          <w:b/>
          <w:sz w:val="28"/>
          <w:szCs w:val="28"/>
          <w:highlight w:val="none"/>
          <w:lang w:val="en-US" w:eastAsia="zh-CN"/>
        </w:rPr>
        <w:t>合作机构及主要职责</w:t>
      </w:r>
    </w:p>
    <w:p w14:paraId="3E06F5E8">
      <w:pPr>
        <w:rPr>
          <w:rFonts w:hint="eastAsia" w:ascii="仿宋" w:hAnsi="仿宋" w:eastAsia="仿宋" w:cs="Times New Roman"/>
          <w:sz w:val="18"/>
          <w:szCs w:val="18"/>
          <w:highlight w:val="none"/>
          <w:lang w:val="en-US" w:eastAsia="zh-CN"/>
        </w:rPr>
      </w:pPr>
      <w:r>
        <w:rPr>
          <w:rFonts w:hint="eastAsia" w:ascii="仿宋" w:hAnsi="仿宋" w:eastAsia="仿宋" w:cs="Times New Roman"/>
          <w:sz w:val="18"/>
          <w:szCs w:val="18"/>
          <w:highlight w:val="none"/>
          <w:lang w:val="en-US" w:eastAsia="zh-CN"/>
        </w:rPr>
        <w:t>1.产品管理人</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01"/>
        <w:gridCol w:w="6921"/>
      </w:tblGrid>
      <w:tr w14:paraId="3CFE1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1" w:type="dxa"/>
            <w:noWrap w:val="0"/>
            <w:vAlign w:val="top"/>
          </w:tcPr>
          <w:p w14:paraId="4B87F27D">
            <w:pPr>
              <w:rPr>
                <w:rFonts w:hint="default" w:ascii="仿宋" w:hAnsi="仿宋" w:eastAsia="仿宋" w:cs="Times New Roman"/>
                <w:sz w:val="18"/>
                <w:szCs w:val="18"/>
                <w:highlight w:val="none"/>
                <w:vertAlign w:val="baseline"/>
                <w:lang w:val="en-US" w:eastAsia="zh-CN"/>
              </w:rPr>
            </w:pPr>
            <w:r>
              <w:rPr>
                <w:rFonts w:hint="eastAsia" w:ascii="仿宋" w:hAnsi="仿宋" w:eastAsia="仿宋" w:cs="Times New Roman"/>
                <w:sz w:val="18"/>
                <w:szCs w:val="18"/>
                <w:highlight w:val="none"/>
                <w:lang w:val="en-US" w:eastAsia="zh-CN"/>
              </w:rPr>
              <w:t>产品管理人名称</w:t>
            </w:r>
          </w:p>
        </w:tc>
        <w:tc>
          <w:tcPr>
            <w:tcW w:w="6921" w:type="dxa"/>
            <w:noWrap w:val="0"/>
            <w:vAlign w:val="top"/>
          </w:tcPr>
          <w:p w14:paraId="37BE2A3F">
            <w:pPr>
              <w:rPr>
                <w:rFonts w:hint="default" w:ascii="仿宋" w:hAnsi="仿宋" w:eastAsia="仿宋" w:cs="Times New Roman"/>
                <w:sz w:val="18"/>
                <w:szCs w:val="18"/>
                <w:highlight w:val="none"/>
                <w:vertAlign w:val="baseline"/>
                <w:lang w:val="en-US" w:eastAsia="zh-CN"/>
              </w:rPr>
            </w:pPr>
            <w:r>
              <w:rPr>
                <w:rFonts w:hint="eastAsia" w:ascii="仿宋" w:hAnsi="仿宋" w:eastAsia="仿宋" w:cs="Times New Roman"/>
                <w:sz w:val="18"/>
                <w:szCs w:val="18"/>
                <w:highlight w:val="none"/>
                <w:vertAlign w:val="baseline"/>
                <w:lang w:val="en-US" w:eastAsia="zh-CN"/>
              </w:rPr>
              <w:t>大连农村商业银行股份有限公司</w:t>
            </w:r>
          </w:p>
        </w:tc>
      </w:tr>
      <w:tr w14:paraId="55F73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1" w:type="dxa"/>
            <w:noWrap w:val="0"/>
            <w:vAlign w:val="top"/>
          </w:tcPr>
          <w:p w14:paraId="6A15FFEC">
            <w:pPr>
              <w:rPr>
                <w:rFonts w:hint="eastAsia" w:ascii="仿宋" w:hAnsi="仿宋" w:eastAsia="仿宋" w:cs="Times New Roman"/>
                <w:sz w:val="18"/>
                <w:szCs w:val="18"/>
                <w:highlight w:val="none"/>
                <w:lang w:val="en-US" w:eastAsia="zh-CN"/>
              </w:rPr>
            </w:pPr>
            <w:r>
              <w:rPr>
                <w:rFonts w:hint="eastAsia" w:ascii="仿宋" w:hAnsi="仿宋" w:eastAsia="仿宋" w:cs="Times New Roman"/>
                <w:sz w:val="18"/>
                <w:szCs w:val="18"/>
                <w:highlight w:val="none"/>
                <w:lang w:val="en-US" w:eastAsia="zh-CN"/>
              </w:rPr>
              <w:t>产品管理人</w:t>
            </w:r>
          </w:p>
          <w:p w14:paraId="2092CA07">
            <w:pPr>
              <w:rPr>
                <w:rFonts w:hint="default" w:ascii="仿宋" w:hAnsi="仿宋" w:eastAsia="仿宋" w:cs="Times New Roman"/>
                <w:sz w:val="18"/>
                <w:szCs w:val="18"/>
                <w:highlight w:val="none"/>
                <w:lang w:val="en-US" w:eastAsia="zh-CN"/>
              </w:rPr>
            </w:pPr>
            <w:r>
              <w:rPr>
                <w:rFonts w:hint="eastAsia" w:ascii="仿宋" w:hAnsi="仿宋" w:eastAsia="仿宋" w:cs="Times New Roman"/>
                <w:sz w:val="18"/>
                <w:szCs w:val="18"/>
                <w:highlight w:val="none"/>
                <w:lang w:val="en-US" w:eastAsia="zh-CN"/>
              </w:rPr>
              <w:t>联系方式</w:t>
            </w:r>
          </w:p>
        </w:tc>
        <w:tc>
          <w:tcPr>
            <w:tcW w:w="6921" w:type="dxa"/>
            <w:noWrap w:val="0"/>
            <w:vAlign w:val="top"/>
          </w:tcPr>
          <w:p w14:paraId="3C37ED46">
            <w:pPr>
              <w:rPr>
                <w:rFonts w:hint="default" w:ascii="仿宋" w:hAnsi="仿宋" w:eastAsia="仿宋" w:cs="Times New Roman"/>
                <w:sz w:val="18"/>
                <w:szCs w:val="18"/>
                <w:highlight w:val="none"/>
                <w:lang w:val="en-US" w:eastAsia="zh-CN"/>
              </w:rPr>
            </w:pPr>
            <w:r>
              <w:rPr>
                <w:rFonts w:hint="eastAsia" w:ascii="仿宋" w:hAnsi="仿宋" w:eastAsia="仿宋" w:cs="Times New Roman"/>
                <w:sz w:val="18"/>
                <w:szCs w:val="18"/>
                <w:highlight w:val="none"/>
                <w:lang w:val="en-US" w:eastAsia="zh-CN"/>
              </w:rPr>
              <w:t>官网：</w:t>
            </w:r>
            <w:r>
              <w:rPr>
                <w:rFonts w:hint="eastAsia" w:ascii="仿宋" w:hAnsi="仿宋" w:eastAsia="仿宋" w:cs="Times New Roman"/>
                <w:color w:val="auto"/>
                <w:sz w:val="18"/>
                <w:szCs w:val="18"/>
                <w:highlight w:val="none"/>
                <w:u w:val="none"/>
                <w:lang w:val="en-US" w:eastAsia="zh-CN"/>
              </w:rPr>
              <w:t>www.dlrcb.cn</w:t>
            </w:r>
          </w:p>
          <w:p w14:paraId="7715B3CF">
            <w:pPr>
              <w:rPr>
                <w:rFonts w:hint="default" w:ascii="仿宋" w:hAnsi="仿宋" w:eastAsia="仿宋" w:cs="Times New Roman"/>
                <w:sz w:val="18"/>
                <w:szCs w:val="18"/>
                <w:highlight w:val="none"/>
                <w:lang w:val="en-US" w:eastAsia="zh-CN"/>
              </w:rPr>
            </w:pPr>
            <w:r>
              <w:rPr>
                <w:rFonts w:hint="eastAsia" w:ascii="仿宋" w:hAnsi="仿宋" w:eastAsia="仿宋" w:cs="Times New Roman"/>
                <w:sz w:val="18"/>
                <w:szCs w:val="18"/>
                <w:highlight w:val="none"/>
                <w:lang w:val="en-US" w:eastAsia="zh-CN"/>
              </w:rPr>
              <w:t>电话：96689</w:t>
            </w:r>
          </w:p>
        </w:tc>
      </w:tr>
      <w:tr w14:paraId="561F9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1" w:type="dxa"/>
            <w:noWrap w:val="0"/>
            <w:vAlign w:val="top"/>
          </w:tcPr>
          <w:p w14:paraId="55B75B34">
            <w:pPr>
              <w:rPr>
                <w:rFonts w:hint="default" w:ascii="仿宋" w:hAnsi="仿宋" w:eastAsia="仿宋" w:cs="Times New Roman"/>
                <w:sz w:val="18"/>
                <w:szCs w:val="18"/>
                <w:highlight w:val="none"/>
                <w:vertAlign w:val="baseline"/>
                <w:lang w:val="en-US" w:eastAsia="zh-CN"/>
              </w:rPr>
            </w:pPr>
            <w:r>
              <w:rPr>
                <w:rFonts w:hint="eastAsia" w:ascii="仿宋" w:hAnsi="仿宋" w:eastAsia="仿宋" w:cs="Times New Roman"/>
                <w:sz w:val="18"/>
                <w:szCs w:val="18"/>
                <w:highlight w:val="none"/>
                <w:lang w:val="en-US" w:eastAsia="zh-CN"/>
              </w:rPr>
              <w:t>产品管理人住所</w:t>
            </w:r>
          </w:p>
        </w:tc>
        <w:tc>
          <w:tcPr>
            <w:tcW w:w="6921" w:type="dxa"/>
            <w:noWrap w:val="0"/>
            <w:vAlign w:val="top"/>
          </w:tcPr>
          <w:p w14:paraId="39BE945F">
            <w:pPr>
              <w:rPr>
                <w:rFonts w:hint="eastAsia" w:ascii="仿宋" w:hAnsi="仿宋" w:eastAsia="仿宋" w:cs="Times New Roman"/>
                <w:sz w:val="18"/>
                <w:szCs w:val="18"/>
                <w:highlight w:val="none"/>
                <w:vertAlign w:val="baseline"/>
                <w:lang w:val="en-US" w:eastAsia="zh-CN"/>
              </w:rPr>
            </w:pPr>
            <w:r>
              <w:rPr>
                <w:rFonts w:hint="eastAsia" w:ascii="仿宋" w:hAnsi="仿宋" w:eastAsia="仿宋" w:cs="Times New Roman"/>
                <w:sz w:val="18"/>
                <w:szCs w:val="18"/>
                <w:highlight w:val="none"/>
                <w:lang w:val="en-US" w:eastAsia="zh-CN"/>
              </w:rPr>
              <w:t>辽宁省大连经济技术开发区五彩城A区1栋-A1号</w:t>
            </w:r>
          </w:p>
        </w:tc>
      </w:tr>
      <w:tr w14:paraId="5C3AC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1" w:type="dxa"/>
            <w:noWrap w:val="0"/>
            <w:vAlign w:val="top"/>
          </w:tcPr>
          <w:p w14:paraId="2A2E4E17">
            <w:pPr>
              <w:rPr>
                <w:rFonts w:hint="default" w:ascii="仿宋" w:hAnsi="仿宋" w:eastAsia="仿宋" w:cs="Times New Roman"/>
                <w:sz w:val="18"/>
                <w:szCs w:val="18"/>
                <w:highlight w:val="none"/>
                <w:vertAlign w:val="baseline"/>
                <w:lang w:val="en-US" w:eastAsia="zh-CN"/>
              </w:rPr>
            </w:pPr>
            <w:r>
              <w:rPr>
                <w:rFonts w:hint="eastAsia" w:ascii="仿宋" w:hAnsi="仿宋" w:eastAsia="仿宋" w:cs="Times New Roman"/>
                <w:sz w:val="18"/>
                <w:szCs w:val="18"/>
                <w:highlight w:val="none"/>
                <w:lang w:val="en-US" w:eastAsia="zh-CN"/>
              </w:rPr>
              <w:t>产品管理人职责</w:t>
            </w:r>
          </w:p>
        </w:tc>
        <w:tc>
          <w:tcPr>
            <w:tcW w:w="6921" w:type="dxa"/>
            <w:noWrap w:val="0"/>
            <w:vAlign w:val="top"/>
          </w:tcPr>
          <w:p w14:paraId="4595581E">
            <w:pPr>
              <w:rPr>
                <w:rFonts w:hint="eastAsia" w:ascii="仿宋" w:hAnsi="仿宋" w:eastAsia="仿宋" w:cs="Times New Roman"/>
                <w:sz w:val="18"/>
                <w:szCs w:val="18"/>
                <w:highlight w:val="none"/>
                <w:vertAlign w:val="baseline"/>
                <w:lang w:val="en-US" w:eastAsia="zh-CN"/>
              </w:rPr>
            </w:pPr>
            <w:r>
              <w:rPr>
                <w:rFonts w:hint="eastAsia" w:ascii="仿宋" w:hAnsi="仿宋" w:eastAsia="仿宋" w:cs="Times New Roman"/>
                <w:sz w:val="18"/>
                <w:szCs w:val="18"/>
                <w:highlight w:val="none"/>
                <w:vertAlign w:val="baseline"/>
                <w:lang w:val="en-US" w:eastAsia="zh-CN"/>
              </w:rPr>
              <w:t>负责本理财产品的投资运作和产品管理，接受投资者的委托和授权，按照本产品说明书约定的投资方向和方式，进行投资和资产管理，代表理财产品签订投资和资产管理过程中涉及到的协议、合同等文本。产品管理人有权按照法律法规和监管机构的要求将投资者的信息向有权部门或相关机构披露。</w:t>
            </w:r>
          </w:p>
        </w:tc>
      </w:tr>
    </w:tbl>
    <w:p w14:paraId="090FDC7A">
      <w:pPr>
        <w:rPr>
          <w:rFonts w:hint="default" w:ascii="仿宋" w:hAnsi="仿宋" w:eastAsia="仿宋" w:cs="Times New Roman"/>
          <w:sz w:val="18"/>
          <w:szCs w:val="18"/>
          <w:highlight w:val="none"/>
          <w:lang w:val="en-US" w:eastAsia="zh-CN"/>
        </w:rPr>
      </w:pPr>
      <w:r>
        <w:rPr>
          <w:rFonts w:hint="eastAsia" w:ascii="仿宋" w:hAnsi="仿宋" w:eastAsia="仿宋" w:cs="Times New Roman"/>
          <w:sz w:val="18"/>
          <w:szCs w:val="18"/>
          <w:highlight w:val="none"/>
          <w:lang w:val="en-US" w:eastAsia="zh-CN"/>
        </w:rPr>
        <w:t>2.产品销售机构</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21"/>
        <w:gridCol w:w="6801"/>
      </w:tblGrid>
      <w:tr w14:paraId="6F945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1" w:type="dxa"/>
            <w:noWrap w:val="0"/>
            <w:vAlign w:val="top"/>
          </w:tcPr>
          <w:p w14:paraId="78B96911">
            <w:pPr>
              <w:rPr>
                <w:rFonts w:hint="default" w:ascii="仿宋" w:hAnsi="仿宋" w:eastAsia="仿宋" w:cs="Times New Roman"/>
                <w:sz w:val="18"/>
                <w:szCs w:val="18"/>
                <w:highlight w:val="none"/>
                <w:vertAlign w:val="baseline"/>
                <w:lang w:val="en-US" w:eastAsia="zh-CN"/>
              </w:rPr>
            </w:pPr>
            <w:r>
              <w:rPr>
                <w:rFonts w:hint="eastAsia" w:ascii="仿宋" w:hAnsi="仿宋" w:eastAsia="仿宋" w:cs="Times New Roman"/>
                <w:sz w:val="18"/>
                <w:szCs w:val="18"/>
                <w:highlight w:val="none"/>
                <w:lang w:val="en-US" w:eastAsia="zh-CN"/>
              </w:rPr>
              <w:t>产品销售机构名称</w:t>
            </w:r>
          </w:p>
        </w:tc>
        <w:tc>
          <w:tcPr>
            <w:tcW w:w="6801" w:type="dxa"/>
            <w:noWrap w:val="0"/>
            <w:vAlign w:val="top"/>
          </w:tcPr>
          <w:p w14:paraId="488402E6">
            <w:pPr>
              <w:rPr>
                <w:rFonts w:hint="default" w:ascii="仿宋" w:hAnsi="仿宋" w:eastAsia="仿宋" w:cs="Times New Roman"/>
                <w:sz w:val="18"/>
                <w:szCs w:val="18"/>
                <w:highlight w:val="none"/>
                <w:vertAlign w:val="baseline"/>
                <w:lang w:val="en-US" w:eastAsia="zh-CN"/>
              </w:rPr>
            </w:pPr>
            <w:r>
              <w:rPr>
                <w:rFonts w:hint="eastAsia" w:ascii="仿宋" w:hAnsi="仿宋" w:eastAsia="仿宋" w:cs="Times New Roman"/>
                <w:sz w:val="18"/>
                <w:szCs w:val="18"/>
                <w:highlight w:val="none"/>
                <w:vertAlign w:val="baseline"/>
                <w:lang w:val="en-US" w:eastAsia="zh-CN"/>
              </w:rPr>
              <w:t>大连农村商业银行股份有限公司</w:t>
            </w:r>
          </w:p>
        </w:tc>
      </w:tr>
      <w:tr w14:paraId="304F3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1" w:type="dxa"/>
            <w:noWrap w:val="0"/>
            <w:vAlign w:val="top"/>
          </w:tcPr>
          <w:p w14:paraId="5808C264">
            <w:pPr>
              <w:rPr>
                <w:rFonts w:hint="eastAsia" w:ascii="仿宋" w:hAnsi="仿宋" w:eastAsia="仿宋" w:cs="Times New Roman"/>
                <w:sz w:val="18"/>
                <w:szCs w:val="18"/>
                <w:highlight w:val="none"/>
                <w:lang w:val="en-US" w:eastAsia="zh-CN"/>
              </w:rPr>
            </w:pPr>
            <w:r>
              <w:rPr>
                <w:rFonts w:hint="eastAsia" w:ascii="仿宋" w:hAnsi="仿宋" w:eastAsia="仿宋" w:cs="Times New Roman"/>
                <w:sz w:val="18"/>
                <w:szCs w:val="18"/>
                <w:highlight w:val="none"/>
                <w:lang w:val="en-US" w:eastAsia="zh-CN"/>
              </w:rPr>
              <w:t>产品管理人</w:t>
            </w:r>
          </w:p>
          <w:p w14:paraId="57CAAF5A">
            <w:pPr>
              <w:rPr>
                <w:rFonts w:hint="eastAsia" w:ascii="仿宋" w:hAnsi="仿宋" w:eastAsia="仿宋" w:cs="Times New Roman"/>
                <w:sz w:val="18"/>
                <w:szCs w:val="18"/>
                <w:highlight w:val="none"/>
                <w:lang w:val="en-US" w:eastAsia="zh-CN"/>
              </w:rPr>
            </w:pPr>
            <w:r>
              <w:rPr>
                <w:rFonts w:hint="eastAsia" w:ascii="仿宋" w:hAnsi="仿宋" w:eastAsia="仿宋" w:cs="Times New Roman"/>
                <w:sz w:val="18"/>
                <w:szCs w:val="18"/>
                <w:highlight w:val="none"/>
                <w:lang w:val="en-US" w:eastAsia="zh-CN"/>
              </w:rPr>
              <w:t>联系方式</w:t>
            </w:r>
          </w:p>
        </w:tc>
        <w:tc>
          <w:tcPr>
            <w:tcW w:w="6801" w:type="dxa"/>
            <w:noWrap w:val="0"/>
            <w:vAlign w:val="top"/>
          </w:tcPr>
          <w:p w14:paraId="62EA68E2">
            <w:pPr>
              <w:rPr>
                <w:rFonts w:hint="default" w:ascii="仿宋" w:hAnsi="仿宋" w:eastAsia="仿宋" w:cs="Times New Roman"/>
                <w:sz w:val="18"/>
                <w:szCs w:val="18"/>
                <w:highlight w:val="none"/>
                <w:lang w:val="en-US" w:eastAsia="zh-CN"/>
              </w:rPr>
            </w:pPr>
            <w:r>
              <w:rPr>
                <w:rFonts w:hint="eastAsia" w:ascii="仿宋" w:hAnsi="仿宋" w:eastAsia="仿宋" w:cs="Times New Roman"/>
                <w:sz w:val="18"/>
                <w:szCs w:val="18"/>
                <w:highlight w:val="none"/>
                <w:lang w:val="en-US" w:eastAsia="zh-CN"/>
              </w:rPr>
              <w:t>官网：</w:t>
            </w:r>
            <w:r>
              <w:rPr>
                <w:rFonts w:hint="eastAsia" w:ascii="仿宋" w:hAnsi="仿宋" w:eastAsia="仿宋" w:cs="Times New Roman"/>
                <w:color w:val="auto"/>
                <w:sz w:val="18"/>
                <w:szCs w:val="18"/>
                <w:highlight w:val="none"/>
                <w:u w:val="none"/>
                <w:lang w:val="en-US" w:eastAsia="zh-CN"/>
              </w:rPr>
              <w:t>www.dlrcb.cn</w:t>
            </w:r>
          </w:p>
          <w:p w14:paraId="6EEE7420">
            <w:pPr>
              <w:rPr>
                <w:rFonts w:hint="eastAsia" w:ascii="仿宋" w:hAnsi="仿宋" w:eastAsia="仿宋" w:cs="Times New Roman"/>
                <w:sz w:val="18"/>
                <w:szCs w:val="18"/>
                <w:highlight w:val="none"/>
                <w:lang w:val="en-US" w:eastAsia="zh-CN"/>
              </w:rPr>
            </w:pPr>
            <w:r>
              <w:rPr>
                <w:rFonts w:hint="eastAsia" w:ascii="仿宋" w:hAnsi="仿宋" w:eastAsia="仿宋" w:cs="Times New Roman"/>
                <w:sz w:val="18"/>
                <w:szCs w:val="18"/>
                <w:highlight w:val="none"/>
                <w:lang w:val="en-US" w:eastAsia="zh-CN"/>
              </w:rPr>
              <w:t>电话：96689</w:t>
            </w:r>
          </w:p>
        </w:tc>
      </w:tr>
      <w:tr w14:paraId="40E67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1" w:type="dxa"/>
            <w:noWrap w:val="0"/>
            <w:vAlign w:val="top"/>
          </w:tcPr>
          <w:p w14:paraId="23B902B9">
            <w:pPr>
              <w:rPr>
                <w:rFonts w:hint="default" w:ascii="仿宋" w:hAnsi="仿宋" w:eastAsia="仿宋" w:cs="Times New Roman"/>
                <w:sz w:val="18"/>
                <w:szCs w:val="18"/>
                <w:highlight w:val="none"/>
                <w:vertAlign w:val="baseline"/>
                <w:lang w:val="en-US" w:eastAsia="zh-CN"/>
              </w:rPr>
            </w:pPr>
            <w:r>
              <w:rPr>
                <w:rFonts w:hint="eastAsia" w:ascii="仿宋" w:hAnsi="仿宋" w:eastAsia="仿宋" w:cs="Times New Roman"/>
                <w:sz w:val="18"/>
                <w:szCs w:val="18"/>
                <w:highlight w:val="none"/>
                <w:lang w:val="en-US" w:eastAsia="zh-CN"/>
              </w:rPr>
              <w:t>产品销售机构住所</w:t>
            </w:r>
          </w:p>
        </w:tc>
        <w:tc>
          <w:tcPr>
            <w:tcW w:w="6801" w:type="dxa"/>
            <w:noWrap w:val="0"/>
            <w:vAlign w:val="top"/>
          </w:tcPr>
          <w:p w14:paraId="4A8B61AD">
            <w:pPr>
              <w:rPr>
                <w:rFonts w:hint="eastAsia" w:ascii="仿宋" w:hAnsi="仿宋" w:eastAsia="仿宋" w:cs="Times New Roman"/>
                <w:sz w:val="18"/>
                <w:szCs w:val="18"/>
                <w:highlight w:val="none"/>
                <w:vertAlign w:val="baseline"/>
                <w:lang w:val="en-US" w:eastAsia="zh-CN"/>
              </w:rPr>
            </w:pPr>
            <w:r>
              <w:rPr>
                <w:rFonts w:hint="eastAsia" w:ascii="仿宋" w:hAnsi="仿宋" w:eastAsia="仿宋" w:cs="Times New Roman"/>
                <w:sz w:val="18"/>
                <w:szCs w:val="18"/>
                <w:highlight w:val="none"/>
                <w:lang w:val="en-US" w:eastAsia="zh-CN"/>
              </w:rPr>
              <w:t>辽宁省大连经济技术开发区五彩城A区1栋-A1号</w:t>
            </w:r>
          </w:p>
        </w:tc>
      </w:tr>
      <w:tr w14:paraId="12F28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1" w:type="dxa"/>
            <w:noWrap w:val="0"/>
            <w:vAlign w:val="top"/>
          </w:tcPr>
          <w:p w14:paraId="5A1BE6DF">
            <w:pPr>
              <w:rPr>
                <w:rFonts w:hint="default" w:ascii="仿宋" w:hAnsi="仿宋" w:eastAsia="仿宋" w:cs="Times New Roman"/>
                <w:sz w:val="18"/>
                <w:szCs w:val="18"/>
                <w:highlight w:val="none"/>
                <w:vertAlign w:val="baseline"/>
                <w:lang w:val="en-US" w:eastAsia="zh-CN"/>
              </w:rPr>
            </w:pPr>
            <w:r>
              <w:rPr>
                <w:rFonts w:hint="eastAsia" w:ascii="仿宋" w:hAnsi="仿宋" w:eastAsia="仿宋" w:cs="Times New Roman"/>
                <w:sz w:val="18"/>
                <w:szCs w:val="18"/>
                <w:highlight w:val="none"/>
                <w:lang w:val="en-US" w:eastAsia="zh-CN"/>
              </w:rPr>
              <w:t>产品销售机构职责</w:t>
            </w:r>
          </w:p>
        </w:tc>
        <w:tc>
          <w:tcPr>
            <w:tcW w:w="6801" w:type="dxa"/>
            <w:noWrap w:val="0"/>
            <w:vAlign w:val="top"/>
          </w:tcPr>
          <w:p w14:paraId="7CDA1ECF">
            <w:pPr>
              <w:rPr>
                <w:rFonts w:hint="eastAsia" w:ascii="仿宋" w:hAnsi="仿宋" w:eastAsia="仿宋" w:cs="Times New Roman"/>
                <w:sz w:val="18"/>
                <w:szCs w:val="18"/>
                <w:highlight w:val="none"/>
                <w:vertAlign w:val="baseline"/>
                <w:lang w:val="en-US" w:eastAsia="zh-CN"/>
              </w:rPr>
            </w:pPr>
            <w:r>
              <w:rPr>
                <w:rFonts w:hint="eastAsia" w:ascii="仿宋" w:hAnsi="仿宋" w:eastAsia="仿宋" w:cs="Times New Roman"/>
                <w:sz w:val="18"/>
                <w:szCs w:val="18"/>
                <w:highlight w:val="none"/>
                <w:lang w:val="en-US" w:eastAsia="zh-CN"/>
              </w:rPr>
              <w:t>负责提供理财产品宣传推广、投资者风险承受能力评估和投资者适当性管理、理财产品份额认购/申购/赎回、协助产品管理人与投资者签订理财产品销售文件及进行信息披露、接受投资者咨询和投资者维护、落实反洗钱、反恐怖融资及非居民金融账户涉税信息尽职调查、完整记录和保存销售业务活动信息等销售服务。</w:t>
            </w:r>
          </w:p>
        </w:tc>
      </w:tr>
    </w:tbl>
    <w:p w14:paraId="4AF375B3">
      <w:pPr>
        <w:rPr>
          <w:rFonts w:hint="default" w:ascii="仿宋" w:hAnsi="仿宋" w:eastAsia="仿宋" w:cs="Times New Roman"/>
          <w:sz w:val="18"/>
          <w:szCs w:val="18"/>
          <w:highlight w:val="none"/>
          <w:lang w:val="en-US" w:eastAsia="zh-CN"/>
        </w:rPr>
      </w:pPr>
      <w:r>
        <w:rPr>
          <w:rFonts w:hint="eastAsia" w:ascii="仿宋" w:hAnsi="仿宋" w:eastAsia="仿宋" w:cs="Times New Roman"/>
          <w:sz w:val="18"/>
          <w:szCs w:val="18"/>
          <w:highlight w:val="none"/>
          <w:lang w:val="en-US" w:eastAsia="zh-CN"/>
        </w:rPr>
        <w:t>3.产品托管机构</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31"/>
        <w:gridCol w:w="6791"/>
      </w:tblGrid>
      <w:tr w14:paraId="45515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31" w:type="dxa"/>
            <w:noWrap w:val="0"/>
            <w:vAlign w:val="top"/>
          </w:tcPr>
          <w:p w14:paraId="3618F349">
            <w:pPr>
              <w:rPr>
                <w:rFonts w:hint="default" w:ascii="仿宋" w:hAnsi="仿宋" w:eastAsia="仿宋" w:cs="Times New Roman"/>
                <w:sz w:val="18"/>
                <w:szCs w:val="18"/>
                <w:highlight w:val="none"/>
                <w:vertAlign w:val="baseline"/>
                <w:lang w:val="en-US" w:eastAsia="zh-CN"/>
              </w:rPr>
            </w:pPr>
            <w:r>
              <w:rPr>
                <w:rFonts w:hint="eastAsia" w:ascii="仿宋" w:hAnsi="仿宋" w:eastAsia="仿宋" w:cs="Times New Roman"/>
                <w:sz w:val="18"/>
                <w:szCs w:val="18"/>
                <w:highlight w:val="none"/>
                <w:lang w:val="en-US" w:eastAsia="zh-CN"/>
              </w:rPr>
              <w:t>产品托管机构名称</w:t>
            </w:r>
          </w:p>
        </w:tc>
        <w:tc>
          <w:tcPr>
            <w:tcW w:w="6791" w:type="dxa"/>
            <w:noWrap w:val="0"/>
            <w:vAlign w:val="top"/>
          </w:tcPr>
          <w:p w14:paraId="669E0F5A">
            <w:pPr>
              <w:rPr>
                <w:rFonts w:hint="default" w:ascii="仿宋" w:hAnsi="仿宋" w:eastAsia="仿宋" w:cs="Times New Roman"/>
                <w:sz w:val="18"/>
                <w:szCs w:val="18"/>
                <w:highlight w:val="none"/>
                <w:vertAlign w:val="baseline"/>
                <w:lang w:val="en-US" w:eastAsia="zh-CN"/>
              </w:rPr>
            </w:pPr>
            <w:r>
              <w:rPr>
                <w:rFonts w:hint="eastAsia" w:ascii="仿宋" w:hAnsi="仿宋" w:eastAsia="仿宋" w:cs="Times New Roman"/>
                <w:sz w:val="18"/>
                <w:szCs w:val="18"/>
                <w:highlight w:val="none"/>
                <w:vertAlign w:val="baseline"/>
                <w:lang w:val="en-US" w:eastAsia="zh-CN"/>
              </w:rPr>
              <w:t>宁波银行股份有限公司</w:t>
            </w:r>
          </w:p>
        </w:tc>
      </w:tr>
      <w:tr w14:paraId="5D498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31" w:type="dxa"/>
            <w:noWrap w:val="0"/>
            <w:vAlign w:val="top"/>
          </w:tcPr>
          <w:p w14:paraId="53136DFB">
            <w:pPr>
              <w:rPr>
                <w:rFonts w:hint="eastAsia" w:ascii="仿宋" w:hAnsi="仿宋" w:eastAsia="仿宋" w:cs="Times New Roman"/>
                <w:sz w:val="18"/>
                <w:szCs w:val="18"/>
                <w:highlight w:val="none"/>
                <w:lang w:val="en-US" w:eastAsia="zh-CN"/>
              </w:rPr>
            </w:pPr>
            <w:r>
              <w:rPr>
                <w:rFonts w:hint="eastAsia" w:ascii="仿宋" w:hAnsi="仿宋" w:eastAsia="仿宋" w:cs="Times New Roman"/>
                <w:sz w:val="18"/>
                <w:szCs w:val="18"/>
                <w:highlight w:val="none"/>
                <w:lang w:val="en-US" w:eastAsia="zh-CN"/>
              </w:rPr>
              <w:t>产品托管机构</w:t>
            </w:r>
          </w:p>
          <w:p w14:paraId="7CCD4147">
            <w:pPr>
              <w:rPr>
                <w:rFonts w:hint="eastAsia" w:ascii="仿宋" w:hAnsi="仿宋" w:eastAsia="仿宋" w:cs="Times New Roman"/>
                <w:sz w:val="18"/>
                <w:szCs w:val="18"/>
                <w:highlight w:val="none"/>
                <w:lang w:val="en-US" w:eastAsia="zh-CN"/>
              </w:rPr>
            </w:pPr>
            <w:r>
              <w:rPr>
                <w:rFonts w:hint="eastAsia" w:ascii="仿宋" w:hAnsi="仿宋" w:eastAsia="仿宋" w:cs="Times New Roman"/>
                <w:sz w:val="18"/>
                <w:szCs w:val="18"/>
                <w:highlight w:val="none"/>
                <w:lang w:val="en-US" w:eastAsia="zh-CN"/>
              </w:rPr>
              <w:t>联系方式</w:t>
            </w:r>
          </w:p>
        </w:tc>
        <w:tc>
          <w:tcPr>
            <w:tcW w:w="6791" w:type="dxa"/>
            <w:noWrap w:val="0"/>
            <w:vAlign w:val="top"/>
          </w:tcPr>
          <w:p w14:paraId="2A67D00B">
            <w:pPr>
              <w:rPr>
                <w:rFonts w:hint="eastAsia" w:ascii="仿宋" w:hAnsi="仿宋" w:eastAsia="仿宋" w:cs="Times New Roman"/>
                <w:sz w:val="18"/>
                <w:szCs w:val="18"/>
                <w:highlight w:val="none"/>
                <w:lang w:val="en-US" w:eastAsia="zh-CN"/>
              </w:rPr>
            </w:pPr>
            <w:r>
              <w:rPr>
                <w:rFonts w:hint="eastAsia" w:ascii="仿宋" w:hAnsi="仿宋" w:eastAsia="仿宋" w:cs="Times New Roman"/>
                <w:sz w:val="18"/>
                <w:szCs w:val="18"/>
                <w:highlight w:val="none"/>
                <w:lang w:val="en-US" w:eastAsia="zh-CN"/>
              </w:rPr>
              <w:t>官网：www.nbcb.com.cn</w:t>
            </w:r>
          </w:p>
          <w:p w14:paraId="3ADA37F2">
            <w:pPr>
              <w:rPr>
                <w:rFonts w:hint="default" w:ascii="仿宋" w:hAnsi="仿宋" w:eastAsia="仿宋" w:cs="Times New Roman"/>
                <w:sz w:val="18"/>
                <w:szCs w:val="18"/>
                <w:highlight w:val="none"/>
                <w:lang w:val="en-US" w:eastAsia="zh-CN"/>
              </w:rPr>
            </w:pPr>
            <w:r>
              <w:rPr>
                <w:rFonts w:hint="eastAsia" w:ascii="仿宋" w:hAnsi="仿宋" w:eastAsia="仿宋" w:cs="Times New Roman"/>
                <w:sz w:val="18"/>
                <w:szCs w:val="18"/>
                <w:highlight w:val="none"/>
                <w:lang w:val="en-US" w:eastAsia="zh-CN"/>
              </w:rPr>
              <w:t>电话：95574</w:t>
            </w:r>
          </w:p>
        </w:tc>
      </w:tr>
      <w:tr w14:paraId="2A803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31" w:type="dxa"/>
            <w:noWrap w:val="0"/>
            <w:vAlign w:val="top"/>
          </w:tcPr>
          <w:p w14:paraId="64CF468D">
            <w:pPr>
              <w:rPr>
                <w:rFonts w:hint="default" w:ascii="仿宋" w:hAnsi="仿宋" w:eastAsia="仿宋" w:cs="Times New Roman"/>
                <w:sz w:val="18"/>
                <w:szCs w:val="18"/>
                <w:highlight w:val="none"/>
                <w:vertAlign w:val="baseline"/>
                <w:lang w:val="en-US" w:eastAsia="zh-CN"/>
              </w:rPr>
            </w:pPr>
            <w:r>
              <w:rPr>
                <w:rFonts w:hint="eastAsia" w:ascii="仿宋" w:hAnsi="仿宋" w:eastAsia="仿宋" w:cs="Times New Roman"/>
                <w:sz w:val="18"/>
                <w:szCs w:val="18"/>
                <w:highlight w:val="none"/>
                <w:lang w:val="en-US" w:eastAsia="zh-CN"/>
              </w:rPr>
              <w:t>产品托管机构住所</w:t>
            </w:r>
          </w:p>
        </w:tc>
        <w:tc>
          <w:tcPr>
            <w:tcW w:w="6791" w:type="dxa"/>
            <w:noWrap w:val="0"/>
            <w:vAlign w:val="top"/>
          </w:tcPr>
          <w:p w14:paraId="3470A24C">
            <w:pPr>
              <w:rPr>
                <w:rFonts w:hint="eastAsia" w:ascii="仿宋" w:hAnsi="仿宋" w:eastAsia="仿宋" w:cs="Times New Roman"/>
                <w:sz w:val="18"/>
                <w:szCs w:val="18"/>
                <w:highlight w:val="none"/>
                <w:vertAlign w:val="baseline"/>
                <w:lang w:val="en-US" w:eastAsia="zh-CN"/>
              </w:rPr>
            </w:pPr>
            <w:r>
              <w:rPr>
                <w:rFonts w:hint="eastAsia" w:ascii="仿宋" w:hAnsi="仿宋" w:eastAsia="仿宋" w:cs="Times New Roman"/>
                <w:sz w:val="18"/>
                <w:szCs w:val="18"/>
                <w:highlight w:val="none"/>
                <w:lang w:val="en-US" w:eastAsia="zh-CN"/>
              </w:rPr>
              <w:t>宁波市鄞州区宁东路345号</w:t>
            </w:r>
          </w:p>
        </w:tc>
      </w:tr>
      <w:tr w14:paraId="2AFEF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31" w:type="dxa"/>
            <w:noWrap w:val="0"/>
            <w:vAlign w:val="top"/>
          </w:tcPr>
          <w:p w14:paraId="07B038A2">
            <w:pPr>
              <w:rPr>
                <w:rFonts w:hint="default" w:ascii="仿宋" w:hAnsi="仿宋" w:eastAsia="仿宋" w:cs="Times New Roman"/>
                <w:sz w:val="18"/>
                <w:szCs w:val="18"/>
                <w:highlight w:val="none"/>
                <w:vertAlign w:val="baseline"/>
                <w:lang w:val="en-US" w:eastAsia="zh-CN"/>
              </w:rPr>
            </w:pPr>
            <w:r>
              <w:rPr>
                <w:rFonts w:hint="eastAsia" w:ascii="仿宋" w:hAnsi="仿宋" w:eastAsia="仿宋" w:cs="Times New Roman"/>
                <w:sz w:val="18"/>
                <w:szCs w:val="18"/>
                <w:highlight w:val="none"/>
                <w:lang w:val="en-US" w:eastAsia="zh-CN"/>
              </w:rPr>
              <w:t>产品托管机构职责</w:t>
            </w:r>
          </w:p>
        </w:tc>
        <w:tc>
          <w:tcPr>
            <w:tcW w:w="6791" w:type="dxa"/>
            <w:noWrap w:val="0"/>
            <w:vAlign w:val="top"/>
          </w:tcPr>
          <w:p w14:paraId="25FAFE53">
            <w:pPr>
              <w:keepNext w:val="0"/>
              <w:keepLines w:val="0"/>
              <w:widowControl/>
              <w:suppressLineNumbers w:val="0"/>
              <w:jc w:val="left"/>
              <w:rPr>
                <w:rFonts w:hint="eastAsia" w:ascii="仿宋" w:hAnsi="仿宋" w:eastAsia="仿宋" w:cs="Times New Roman"/>
                <w:sz w:val="18"/>
                <w:szCs w:val="18"/>
                <w:highlight w:val="none"/>
                <w:vertAlign w:val="baseline"/>
                <w:lang w:val="en-US" w:eastAsia="zh-CN"/>
              </w:rPr>
            </w:pPr>
            <w:r>
              <w:rPr>
                <w:rFonts w:hint="eastAsia" w:ascii="仿宋" w:hAnsi="仿宋" w:eastAsia="仿宋" w:cs="Times New Roman"/>
                <w:sz w:val="18"/>
                <w:szCs w:val="18"/>
                <w:highlight w:val="none"/>
                <w:lang w:val="en-US" w:eastAsia="zh-CN"/>
              </w:rPr>
              <w:t>负责安全保管理财产品财产，并依法依规提供账户开立、清算交割、会计核算、资产估值、信息披露、投资监督以及托管合同约定的相关服务。</w:t>
            </w:r>
          </w:p>
        </w:tc>
      </w:tr>
    </w:tbl>
    <w:p w14:paraId="57B1F9F2">
      <w:pPr>
        <w:keepNext w:val="0"/>
        <w:keepLines w:val="0"/>
        <w:widowControl/>
        <w:suppressLineNumbers w:val="0"/>
        <w:jc w:val="left"/>
        <w:rPr>
          <w:rFonts w:hint="eastAsia" w:ascii="仿宋" w:hAnsi="仿宋" w:eastAsia="仿宋" w:cs="Times New Roman"/>
          <w:b/>
          <w:kern w:val="2"/>
          <w:sz w:val="28"/>
          <w:szCs w:val="28"/>
          <w:highlight w:val="none"/>
          <w:lang w:val="en-US" w:eastAsia="zh-CN" w:bidi="ar-SA"/>
        </w:rPr>
      </w:pPr>
      <w:r>
        <w:rPr>
          <w:rFonts w:hint="eastAsia" w:ascii="仿宋" w:hAnsi="仿宋" w:eastAsia="仿宋"/>
          <w:b/>
          <w:kern w:val="2"/>
          <w:sz w:val="28"/>
          <w:szCs w:val="28"/>
          <w:highlight w:val="none"/>
          <w:lang w:val="en-US" w:eastAsia="zh-CN" w:bidi="ar-SA"/>
        </w:rPr>
        <w:t>七</w:t>
      </w:r>
      <w:r>
        <w:rPr>
          <w:rFonts w:hint="eastAsia" w:ascii="仿宋" w:hAnsi="仿宋" w:eastAsia="仿宋" w:cs="Times New Roman"/>
          <w:b/>
          <w:kern w:val="2"/>
          <w:sz w:val="28"/>
          <w:szCs w:val="28"/>
          <w:highlight w:val="none"/>
          <w:lang w:val="en-US" w:eastAsia="zh-CN" w:bidi="ar-SA"/>
        </w:rPr>
        <w:t>、理财产品信息披露</w:t>
      </w:r>
    </w:p>
    <w:p w14:paraId="3173145C">
      <w:pPr>
        <w:rPr>
          <w:rFonts w:hint="eastAsia" w:ascii="仿宋" w:hAnsi="仿宋" w:eastAsia="仿宋" w:cs="Times New Roman"/>
          <w:sz w:val="18"/>
          <w:szCs w:val="18"/>
          <w:highlight w:val="none"/>
        </w:rPr>
      </w:pPr>
      <w:r>
        <w:rPr>
          <w:rFonts w:hint="eastAsia" w:ascii="仿宋" w:hAnsi="仿宋" w:eastAsia="仿宋" w:cs="Times New Roman"/>
          <w:sz w:val="18"/>
          <w:szCs w:val="18"/>
          <w:highlight w:val="none"/>
          <w:lang w:val="en-US" w:eastAsia="zh-CN"/>
        </w:rPr>
        <w:t xml:space="preserve">（一）信息披露的方式 </w:t>
      </w:r>
    </w:p>
    <w:p w14:paraId="51D8AD7E">
      <w:pPr>
        <w:rPr>
          <w:rFonts w:hint="eastAsia" w:ascii="仿宋" w:hAnsi="仿宋" w:eastAsia="仿宋" w:cs="Times New Roman"/>
          <w:sz w:val="18"/>
          <w:szCs w:val="18"/>
          <w:highlight w:val="none"/>
        </w:rPr>
      </w:pPr>
      <w:r>
        <w:rPr>
          <w:rFonts w:hint="eastAsia" w:ascii="仿宋" w:hAnsi="仿宋" w:eastAsia="仿宋" w:cs="Times New Roman"/>
          <w:sz w:val="18"/>
          <w:szCs w:val="18"/>
          <w:highlight w:val="none"/>
          <w:lang w:val="en-US" w:eastAsia="zh-CN"/>
        </w:rPr>
        <w:t xml:space="preserve">投资者可以从产品销售文件和产品信息公告中获取产品相关信息。产品信息公告包括产品发行公告、到期公告、净值披露、定期报告、临时信息披露等。 </w:t>
      </w:r>
    </w:p>
    <w:p w14:paraId="4623B1C0">
      <w:pPr>
        <w:rPr>
          <w:rFonts w:hint="eastAsia" w:ascii="仿宋" w:hAnsi="仿宋" w:eastAsia="仿宋" w:cs="Times New Roman"/>
          <w:sz w:val="18"/>
          <w:szCs w:val="18"/>
          <w:highlight w:val="none"/>
        </w:rPr>
      </w:pPr>
      <w:r>
        <w:rPr>
          <w:rFonts w:hint="eastAsia" w:ascii="仿宋" w:hAnsi="仿宋" w:eastAsia="仿宋" w:cs="Times New Roman"/>
          <w:sz w:val="18"/>
          <w:szCs w:val="18"/>
          <w:highlight w:val="none"/>
          <w:lang w:val="en-US" w:eastAsia="zh-CN"/>
        </w:rPr>
        <w:t xml:space="preserve">（二）信息披露的渠道 </w:t>
      </w:r>
    </w:p>
    <w:p w14:paraId="6697B169">
      <w:pPr>
        <w:rPr>
          <w:rFonts w:hint="eastAsia" w:ascii="仿宋" w:hAnsi="仿宋" w:eastAsia="仿宋" w:cs="Times New Roman"/>
          <w:sz w:val="18"/>
          <w:szCs w:val="18"/>
          <w:highlight w:val="none"/>
        </w:rPr>
      </w:pPr>
      <w:r>
        <w:rPr>
          <w:rFonts w:hint="eastAsia" w:ascii="仿宋" w:hAnsi="仿宋" w:eastAsia="仿宋" w:cs="Times New Roman"/>
          <w:sz w:val="18"/>
          <w:szCs w:val="18"/>
          <w:highlight w:val="none"/>
          <w:lang w:val="en-US" w:eastAsia="zh-CN"/>
        </w:rPr>
        <w:t>投资者可登陆</w:t>
      </w:r>
      <w:r>
        <w:rPr>
          <w:rFonts w:hint="eastAsia" w:ascii="仿宋" w:hAnsi="仿宋" w:eastAsia="仿宋"/>
          <w:sz w:val="18"/>
          <w:szCs w:val="18"/>
          <w:highlight w:val="none"/>
        </w:rPr>
        <w:t>大连农商银行</w:t>
      </w:r>
      <w:r>
        <w:rPr>
          <w:rFonts w:hint="eastAsia" w:ascii="仿宋" w:hAnsi="仿宋" w:eastAsia="仿宋"/>
          <w:sz w:val="18"/>
          <w:szCs w:val="18"/>
          <w:highlight w:val="none"/>
          <w:lang w:val="en-US" w:eastAsia="zh-CN"/>
        </w:rPr>
        <w:t>官网</w:t>
      </w:r>
      <w:r>
        <w:rPr>
          <w:rFonts w:hint="eastAsia" w:ascii="仿宋" w:hAnsi="仿宋" w:eastAsia="仿宋" w:cs="Times New Roman"/>
          <w:sz w:val="18"/>
          <w:szCs w:val="18"/>
          <w:highlight w:val="none"/>
          <w:lang w:val="en-US" w:eastAsia="zh-CN"/>
        </w:rPr>
        <w:t xml:space="preserve">或行业统一信息披露渠道如中国理财网 （www.chinawealth.com.cn)查询产品相关披露信息（将使用其中一种或多种渠道进行信息披露），并可通过网上银行和手机银行等渠道查询产品持有信息。根据本产品运作特点，本产品管理人不向投资人另行寄送产品账单。 </w:t>
      </w:r>
    </w:p>
    <w:p w14:paraId="764450E1">
      <w:pPr>
        <w:rPr>
          <w:rFonts w:hint="eastAsia" w:ascii="仿宋" w:hAnsi="仿宋" w:eastAsia="仿宋" w:cs="Times New Roman"/>
          <w:sz w:val="18"/>
          <w:szCs w:val="18"/>
          <w:highlight w:val="none"/>
        </w:rPr>
      </w:pPr>
      <w:r>
        <w:rPr>
          <w:rFonts w:hint="eastAsia" w:ascii="仿宋" w:hAnsi="仿宋" w:eastAsia="仿宋" w:cs="Times New Roman"/>
          <w:sz w:val="18"/>
          <w:szCs w:val="18"/>
          <w:highlight w:val="none"/>
          <w:lang w:val="en-US" w:eastAsia="zh-CN"/>
        </w:rPr>
        <w:t xml:space="preserve">（三）信息披露的频率 </w:t>
      </w:r>
    </w:p>
    <w:p w14:paraId="2427015A">
      <w:pPr>
        <w:rPr>
          <w:rFonts w:hint="eastAsia" w:ascii="仿宋" w:hAnsi="仿宋" w:eastAsia="仿宋" w:cs="Times New Roman"/>
          <w:sz w:val="18"/>
          <w:szCs w:val="18"/>
          <w:highlight w:val="none"/>
        </w:rPr>
      </w:pPr>
      <w:r>
        <w:rPr>
          <w:rFonts w:hint="eastAsia" w:ascii="仿宋" w:hAnsi="仿宋" w:eastAsia="仿宋" w:cs="Times New Roman"/>
          <w:sz w:val="18"/>
          <w:szCs w:val="18"/>
          <w:highlight w:val="none"/>
          <w:lang w:val="en-US" w:eastAsia="zh-CN"/>
        </w:rPr>
        <w:t>1、本产品销售时，</w:t>
      </w:r>
      <w:r>
        <w:rPr>
          <w:rFonts w:hint="eastAsia" w:ascii="仿宋" w:hAnsi="仿宋" w:eastAsia="仿宋"/>
          <w:sz w:val="18"/>
          <w:szCs w:val="18"/>
          <w:highlight w:val="none"/>
        </w:rPr>
        <w:t>大连农商银行</w:t>
      </w:r>
      <w:r>
        <w:rPr>
          <w:rFonts w:hint="eastAsia" w:ascii="仿宋" w:hAnsi="仿宋" w:eastAsia="仿宋" w:cs="Times New Roman"/>
          <w:sz w:val="18"/>
          <w:szCs w:val="18"/>
          <w:highlight w:val="none"/>
          <w:lang w:val="en-US" w:eastAsia="zh-CN"/>
        </w:rPr>
        <w:t xml:space="preserve">向投资者披露《理财产品说明书》、《理财产品协议书》、《风险揭示书》、《客户权益须知》等有关文件，以及对以上文件的有效修改或补充； </w:t>
      </w:r>
    </w:p>
    <w:p w14:paraId="2A5CF068">
      <w:pPr>
        <w:rPr>
          <w:rFonts w:hint="eastAsia" w:ascii="仿宋" w:hAnsi="仿宋" w:eastAsia="仿宋" w:cs="Times New Roman"/>
          <w:sz w:val="18"/>
          <w:szCs w:val="18"/>
          <w:highlight w:val="none"/>
        </w:rPr>
      </w:pPr>
      <w:r>
        <w:rPr>
          <w:rFonts w:hint="eastAsia" w:ascii="仿宋" w:hAnsi="仿宋" w:eastAsia="仿宋" w:cs="Times New Roman"/>
          <w:sz w:val="18"/>
          <w:szCs w:val="18"/>
          <w:highlight w:val="none"/>
          <w:lang w:val="en-US" w:eastAsia="zh-CN"/>
        </w:rPr>
        <w:t>2、本产品成立后5个工作日内，</w:t>
      </w:r>
      <w:r>
        <w:rPr>
          <w:rFonts w:hint="eastAsia" w:ascii="仿宋" w:hAnsi="仿宋" w:eastAsia="仿宋"/>
          <w:sz w:val="18"/>
          <w:szCs w:val="18"/>
          <w:highlight w:val="none"/>
        </w:rPr>
        <w:t>大连农商银行</w:t>
      </w:r>
      <w:r>
        <w:rPr>
          <w:rFonts w:hint="eastAsia" w:ascii="仿宋" w:hAnsi="仿宋" w:eastAsia="仿宋" w:cs="Times New Roman"/>
          <w:sz w:val="18"/>
          <w:szCs w:val="18"/>
          <w:highlight w:val="none"/>
          <w:lang w:val="en-US" w:eastAsia="zh-CN"/>
        </w:rPr>
        <w:t xml:space="preserve">发布发行公告，如产品不成立，产品管理人将在原定产品成立日后3个工作日内发布产品不成立信息； </w:t>
      </w:r>
    </w:p>
    <w:p w14:paraId="3395AA00">
      <w:pPr>
        <w:rPr>
          <w:rFonts w:hint="eastAsia" w:ascii="仿宋" w:hAnsi="仿宋" w:eastAsia="仿宋" w:cs="Times New Roman"/>
          <w:sz w:val="18"/>
          <w:szCs w:val="18"/>
          <w:highlight w:val="none"/>
        </w:rPr>
      </w:pPr>
      <w:r>
        <w:rPr>
          <w:rFonts w:hint="eastAsia" w:ascii="仿宋" w:hAnsi="仿宋" w:eastAsia="仿宋" w:cs="Times New Roman"/>
          <w:sz w:val="18"/>
          <w:szCs w:val="18"/>
          <w:highlight w:val="none"/>
          <w:lang w:val="en-US" w:eastAsia="zh-CN"/>
        </w:rPr>
        <w:t>3、本产品成立后，</w:t>
      </w:r>
      <w:r>
        <w:rPr>
          <w:rFonts w:hint="eastAsia" w:ascii="仿宋" w:hAnsi="仿宋" w:eastAsia="仿宋"/>
          <w:sz w:val="18"/>
          <w:szCs w:val="18"/>
          <w:highlight w:val="none"/>
        </w:rPr>
        <w:t>大连农商银行</w:t>
      </w:r>
      <w:r>
        <w:rPr>
          <w:rFonts w:hint="eastAsia" w:ascii="仿宋" w:hAnsi="仿宋" w:eastAsia="仿宋" w:cs="Times New Roman"/>
          <w:sz w:val="18"/>
          <w:szCs w:val="18"/>
          <w:highlight w:val="none"/>
          <w:lang w:val="en-US" w:eastAsia="zh-CN"/>
        </w:rPr>
        <w:t xml:space="preserve">将在每个季度结束之日起15个工作日内披露产品的季度报告、每年8月31日前披露产品的半年度报告、每年4月30日前披露产品上一年度的年度报告，向投资人披露产品投资状况等相关信息，理财产品成立不足90天的，可以不编制当季的季度、半年和年度报告； </w:t>
      </w:r>
    </w:p>
    <w:p w14:paraId="4E6F6305">
      <w:pPr>
        <w:rPr>
          <w:rFonts w:hint="eastAsia" w:ascii="仿宋" w:hAnsi="仿宋" w:eastAsia="仿宋" w:cs="Times New Roman"/>
          <w:sz w:val="18"/>
          <w:szCs w:val="18"/>
          <w:highlight w:val="none"/>
        </w:rPr>
      </w:pPr>
      <w:r>
        <w:rPr>
          <w:rFonts w:hint="eastAsia" w:ascii="仿宋" w:hAnsi="仿宋" w:eastAsia="仿宋" w:cs="Times New Roman"/>
          <w:sz w:val="18"/>
          <w:szCs w:val="18"/>
          <w:highlight w:val="none"/>
          <w:lang w:val="en-US" w:eastAsia="zh-CN"/>
        </w:rPr>
        <w:t>4、本产品成立后，</w:t>
      </w:r>
      <w:r>
        <w:rPr>
          <w:rFonts w:hint="eastAsia" w:ascii="仿宋" w:hAnsi="仿宋" w:eastAsia="仿宋"/>
          <w:sz w:val="18"/>
          <w:szCs w:val="18"/>
          <w:highlight w:val="none"/>
        </w:rPr>
        <w:t>大连农商银行</w:t>
      </w:r>
      <w:r>
        <w:rPr>
          <w:rFonts w:hint="eastAsia" w:ascii="仿宋" w:hAnsi="仿宋" w:eastAsia="仿宋" w:cs="Times New Roman"/>
          <w:sz w:val="18"/>
          <w:szCs w:val="18"/>
          <w:highlight w:val="none"/>
          <w:lang w:val="en-US" w:eastAsia="zh-CN"/>
        </w:rPr>
        <w:t xml:space="preserve">于每周四公布产品份额净值、份额累计净值和资产净值，如遇节假日，则进行顺延； </w:t>
      </w:r>
    </w:p>
    <w:p w14:paraId="64EF34B4">
      <w:pPr>
        <w:rPr>
          <w:rFonts w:hint="eastAsia" w:ascii="仿宋" w:hAnsi="仿宋" w:eastAsia="仿宋" w:cs="Times New Roman"/>
          <w:sz w:val="18"/>
          <w:szCs w:val="18"/>
          <w:highlight w:val="none"/>
        </w:rPr>
      </w:pPr>
      <w:r>
        <w:rPr>
          <w:rFonts w:hint="eastAsia" w:ascii="仿宋" w:hAnsi="仿宋" w:eastAsia="仿宋" w:cs="Times New Roman"/>
          <w:sz w:val="18"/>
          <w:szCs w:val="18"/>
          <w:highlight w:val="none"/>
          <w:lang w:val="en-US" w:eastAsia="zh-CN"/>
        </w:rPr>
        <w:t>5、本产品在运作管理过程中，发生可能对理财产品投资者权益产生影响的事项时，</w:t>
      </w:r>
      <w:r>
        <w:rPr>
          <w:rFonts w:hint="eastAsia" w:ascii="仿宋" w:hAnsi="仿宋" w:eastAsia="仿宋"/>
          <w:sz w:val="18"/>
          <w:szCs w:val="18"/>
          <w:highlight w:val="none"/>
        </w:rPr>
        <w:t>大连农商银行</w:t>
      </w:r>
      <w:r>
        <w:rPr>
          <w:rFonts w:hint="eastAsia" w:ascii="仿宋" w:hAnsi="仿宋" w:eastAsia="仿宋" w:cs="Times New Roman"/>
          <w:sz w:val="18"/>
          <w:szCs w:val="18"/>
          <w:highlight w:val="none"/>
          <w:lang w:val="en-US" w:eastAsia="zh-CN"/>
        </w:rPr>
        <w:t xml:space="preserve">将根据法律法规及监管规定及时进行临时性信息披露； </w:t>
      </w:r>
    </w:p>
    <w:p w14:paraId="5EF7ACB3">
      <w:pPr>
        <w:rPr>
          <w:rFonts w:hint="eastAsia" w:ascii="仿宋" w:hAnsi="仿宋" w:eastAsia="仿宋" w:cs="Times New Roman"/>
          <w:sz w:val="18"/>
          <w:szCs w:val="18"/>
          <w:highlight w:val="none"/>
        </w:rPr>
      </w:pPr>
      <w:r>
        <w:rPr>
          <w:rFonts w:hint="eastAsia" w:ascii="仿宋" w:hAnsi="仿宋" w:eastAsia="仿宋" w:cs="Times New Roman"/>
          <w:sz w:val="18"/>
          <w:szCs w:val="18"/>
          <w:highlight w:val="none"/>
          <w:lang w:val="en-US" w:eastAsia="zh-CN"/>
        </w:rPr>
        <w:t>6、本产品在终止后5个工作日内，</w:t>
      </w:r>
      <w:r>
        <w:rPr>
          <w:rFonts w:hint="eastAsia" w:ascii="仿宋" w:hAnsi="仿宋" w:eastAsia="仿宋"/>
          <w:sz w:val="18"/>
          <w:szCs w:val="18"/>
          <w:highlight w:val="none"/>
        </w:rPr>
        <w:t>大连农商银行</w:t>
      </w:r>
      <w:r>
        <w:rPr>
          <w:rFonts w:hint="eastAsia" w:ascii="仿宋" w:hAnsi="仿宋" w:eastAsia="仿宋" w:cs="Times New Roman"/>
          <w:sz w:val="18"/>
          <w:szCs w:val="18"/>
          <w:highlight w:val="none"/>
          <w:lang w:val="en-US" w:eastAsia="zh-CN"/>
        </w:rPr>
        <w:t xml:space="preserve">发布产品到期相关信息公告； </w:t>
      </w:r>
    </w:p>
    <w:p w14:paraId="68945BF7">
      <w:pPr>
        <w:rPr>
          <w:rFonts w:hint="eastAsia" w:ascii="仿宋" w:hAnsi="仿宋" w:eastAsia="仿宋" w:cs="Times New Roman"/>
          <w:sz w:val="18"/>
          <w:szCs w:val="18"/>
          <w:highlight w:val="none"/>
        </w:rPr>
      </w:pPr>
      <w:r>
        <w:rPr>
          <w:rFonts w:hint="eastAsia" w:ascii="仿宋" w:hAnsi="仿宋" w:eastAsia="仿宋" w:cs="Times New Roman"/>
          <w:sz w:val="18"/>
          <w:szCs w:val="18"/>
          <w:highlight w:val="none"/>
          <w:lang w:val="en-US" w:eastAsia="zh-CN"/>
        </w:rPr>
        <w:t>7、在产品存续期内，若发生</w:t>
      </w:r>
      <w:r>
        <w:rPr>
          <w:rFonts w:hint="eastAsia" w:ascii="仿宋" w:hAnsi="仿宋" w:eastAsia="仿宋"/>
          <w:sz w:val="18"/>
          <w:szCs w:val="18"/>
          <w:highlight w:val="none"/>
        </w:rPr>
        <w:t>大连农商银行</w:t>
      </w:r>
      <w:r>
        <w:rPr>
          <w:rFonts w:hint="eastAsia" w:ascii="仿宋" w:hAnsi="仿宋" w:eastAsia="仿宋" w:cs="Times New Roman"/>
          <w:sz w:val="18"/>
          <w:szCs w:val="18"/>
          <w:highlight w:val="none"/>
          <w:lang w:val="en-US" w:eastAsia="zh-CN"/>
        </w:rPr>
        <w:t>认为可能影响本产品投资运作的重大影响事件时，包括但不限于市场发生重大变化、投资资产质量发生重大变化，或者因金融市场发生重大变化导致理财产品投资比例暂时超出浮动区间且可能对理财产品收益产生重大影响的，或其它可能对投资者权益产生重大影响的突发事件时，产品管理人可视情况选择以下多种方式告知投资者：</w:t>
      </w:r>
      <w:r>
        <w:rPr>
          <w:rFonts w:hint="eastAsia" w:ascii="仿宋" w:hAnsi="仿宋" w:eastAsia="仿宋"/>
          <w:sz w:val="18"/>
          <w:szCs w:val="18"/>
          <w:highlight w:val="none"/>
        </w:rPr>
        <w:t>大连农商银行</w:t>
      </w:r>
      <w:r>
        <w:rPr>
          <w:rFonts w:hint="eastAsia" w:ascii="仿宋" w:hAnsi="仿宋" w:eastAsia="仿宋" w:cs="Times New Roman"/>
          <w:sz w:val="18"/>
          <w:szCs w:val="18"/>
          <w:highlight w:val="none"/>
          <w:lang w:val="en-US" w:eastAsia="zh-CN"/>
        </w:rPr>
        <w:t>网站、相关营业网点、手机银行或网上银行、电子邮件、电话、以信函形式邮寄、手机短信等。</w:t>
      </w:r>
    </w:p>
    <w:p w14:paraId="09165B4E">
      <w:pPr>
        <w:rPr>
          <w:rFonts w:hint="eastAsia" w:ascii="仿宋" w:hAnsi="仿宋" w:eastAsia="仿宋"/>
          <w:sz w:val="18"/>
          <w:szCs w:val="18"/>
          <w:highlight w:val="none"/>
        </w:rPr>
      </w:pPr>
    </w:p>
    <w:p w14:paraId="76281B67">
      <w:pPr>
        <w:rPr>
          <w:rFonts w:hint="eastAsia" w:ascii="仿宋" w:hAnsi="仿宋" w:eastAsia="仿宋"/>
          <w:sz w:val="18"/>
          <w:szCs w:val="18"/>
          <w:highlight w:val="none"/>
        </w:rPr>
      </w:pPr>
    </w:p>
    <w:p w14:paraId="215EC02F">
      <w:pPr>
        <w:rPr>
          <w:rFonts w:hint="eastAsia" w:ascii="仿宋" w:hAnsi="仿宋" w:eastAsia="仿宋"/>
          <w:sz w:val="18"/>
          <w:szCs w:val="18"/>
          <w:highlight w:val="none"/>
        </w:rPr>
      </w:pPr>
    </w:p>
    <w:p w14:paraId="2B4A0BB6">
      <w:pPr>
        <w:rPr>
          <w:rFonts w:hint="eastAsia" w:ascii="仿宋" w:hAnsi="仿宋" w:eastAsia="仿宋"/>
          <w:sz w:val="18"/>
          <w:szCs w:val="18"/>
          <w:highlight w:val="none"/>
        </w:rPr>
      </w:pPr>
    </w:p>
    <w:p w14:paraId="3A352E5F">
      <w:pPr>
        <w:rPr>
          <w:rFonts w:hint="eastAsia" w:ascii="仿宋" w:hAnsi="仿宋" w:eastAsia="仿宋"/>
          <w:sz w:val="18"/>
          <w:szCs w:val="18"/>
          <w:highlight w:val="none"/>
        </w:rPr>
      </w:pPr>
    </w:p>
    <w:p w14:paraId="15A3F678">
      <w:pPr>
        <w:rPr>
          <w:rFonts w:hint="eastAsia" w:ascii="仿宋" w:hAnsi="仿宋" w:eastAsia="仿宋"/>
          <w:sz w:val="18"/>
          <w:szCs w:val="18"/>
          <w:highlight w:val="none"/>
        </w:rPr>
      </w:pPr>
    </w:p>
    <w:p w14:paraId="6D696567">
      <w:pPr>
        <w:rPr>
          <w:rFonts w:hint="eastAsia" w:ascii="仿宋" w:hAnsi="仿宋" w:eastAsia="仿宋"/>
          <w:sz w:val="18"/>
          <w:szCs w:val="18"/>
          <w:highlight w:val="none"/>
        </w:rPr>
      </w:pPr>
    </w:p>
    <w:p w14:paraId="7CA62358">
      <w:pPr>
        <w:rPr>
          <w:rFonts w:hint="eastAsia" w:ascii="仿宋" w:hAnsi="仿宋" w:eastAsia="仿宋"/>
          <w:sz w:val="18"/>
          <w:szCs w:val="18"/>
          <w:highlight w:val="none"/>
        </w:rPr>
      </w:pPr>
    </w:p>
    <w:p w14:paraId="0BCCE1C9">
      <w:pPr>
        <w:rPr>
          <w:rFonts w:hint="eastAsia" w:ascii="仿宋" w:hAnsi="仿宋" w:eastAsia="仿宋"/>
          <w:sz w:val="18"/>
          <w:szCs w:val="18"/>
          <w:highlight w:val="none"/>
        </w:rPr>
      </w:pPr>
    </w:p>
    <w:p w14:paraId="6F2B2A0C">
      <w:pPr>
        <w:rPr>
          <w:rFonts w:hint="eastAsia" w:ascii="仿宋" w:hAnsi="仿宋" w:eastAsia="仿宋"/>
          <w:sz w:val="18"/>
          <w:szCs w:val="18"/>
          <w:highlight w:val="none"/>
        </w:rPr>
      </w:pPr>
    </w:p>
    <w:p w14:paraId="71EE61BE">
      <w:pPr>
        <w:rPr>
          <w:rFonts w:hint="eastAsia" w:ascii="仿宋" w:hAnsi="仿宋" w:eastAsia="仿宋"/>
          <w:sz w:val="18"/>
          <w:szCs w:val="18"/>
          <w:highlight w:val="none"/>
        </w:rPr>
      </w:pPr>
    </w:p>
    <w:p w14:paraId="3793D816">
      <w:pPr>
        <w:rPr>
          <w:rFonts w:hint="eastAsia" w:ascii="仿宋" w:hAnsi="仿宋" w:eastAsia="仿宋"/>
          <w:sz w:val="18"/>
          <w:szCs w:val="18"/>
          <w:highlight w:val="none"/>
        </w:rPr>
      </w:pPr>
    </w:p>
    <w:p w14:paraId="1EFDA8F3">
      <w:pPr>
        <w:rPr>
          <w:rFonts w:hint="eastAsia" w:ascii="仿宋" w:hAnsi="仿宋" w:eastAsia="仿宋"/>
          <w:sz w:val="18"/>
          <w:szCs w:val="18"/>
          <w:highlight w:val="none"/>
        </w:rPr>
      </w:pPr>
    </w:p>
    <w:p w14:paraId="778259DF">
      <w:pPr>
        <w:rPr>
          <w:rFonts w:hint="eastAsia" w:ascii="仿宋" w:hAnsi="仿宋" w:eastAsia="仿宋"/>
          <w:sz w:val="18"/>
          <w:szCs w:val="18"/>
          <w:highlight w:val="none"/>
        </w:rPr>
      </w:pPr>
    </w:p>
    <w:p w14:paraId="22533B5E">
      <w:pPr>
        <w:rPr>
          <w:rFonts w:hint="eastAsia" w:ascii="仿宋" w:hAnsi="仿宋" w:eastAsia="仿宋"/>
          <w:sz w:val="18"/>
          <w:szCs w:val="18"/>
          <w:highlight w:val="none"/>
        </w:rPr>
      </w:pPr>
    </w:p>
    <w:p w14:paraId="0CA734F2">
      <w:pPr>
        <w:rPr>
          <w:rFonts w:hint="eastAsia" w:ascii="仿宋" w:hAnsi="仿宋" w:eastAsia="仿宋"/>
          <w:sz w:val="18"/>
          <w:szCs w:val="18"/>
          <w:highlight w:val="none"/>
        </w:rPr>
      </w:pPr>
    </w:p>
    <w:p w14:paraId="50CD37AF">
      <w:pPr>
        <w:rPr>
          <w:rFonts w:hint="eastAsia" w:ascii="仿宋" w:hAnsi="仿宋" w:eastAsia="仿宋"/>
          <w:sz w:val="18"/>
          <w:szCs w:val="18"/>
          <w:highlight w:val="none"/>
        </w:rPr>
      </w:pPr>
    </w:p>
    <w:p w14:paraId="13035FB7">
      <w:pPr>
        <w:rPr>
          <w:rFonts w:hint="eastAsia" w:ascii="仿宋" w:hAnsi="仿宋" w:eastAsia="仿宋"/>
          <w:sz w:val="18"/>
          <w:szCs w:val="18"/>
          <w:highlight w:val="none"/>
        </w:rPr>
      </w:pPr>
    </w:p>
    <w:p w14:paraId="15AD930C">
      <w:pPr>
        <w:rPr>
          <w:rFonts w:hint="eastAsia" w:ascii="仿宋" w:hAnsi="仿宋" w:eastAsia="仿宋"/>
          <w:sz w:val="18"/>
          <w:szCs w:val="18"/>
          <w:highlight w:val="none"/>
        </w:rPr>
      </w:pPr>
    </w:p>
    <w:p w14:paraId="66C01811">
      <w:pPr>
        <w:rPr>
          <w:rFonts w:hint="eastAsia" w:ascii="仿宋" w:hAnsi="仿宋" w:eastAsia="仿宋"/>
          <w:sz w:val="18"/>
          <w:szCs w:val="18"/>
          <w:highlight w:val="none"/>
        </w:rPr>
      </w:pPr>
    </w:p>
    <w:p w14:paraId="1A4DFDD0">
      <w:pPr>
        <w:rPr>
          <w:rFonts w:hint="eastAsia" w:ascii="仿宋" w:hAnsi="仿宋" w:eastAsia="仿宋"/>
          <w:sz w:val="18"/>
          <w:szCs w:val="18"/>
          <w:highlight w:val="none"/>
        </w:rPr>
      </w:pPr>
    </w:p>
    <w:p w14:paraId="7D47D8A6">
      <w:pPr>
        <w:rPr>
          <w:rFonts w:hint="eastAsia" w:ascii="仿宋" w:hAnsi="仿宋" w:eastAsia="仿宋"/>
          <w:sz w:val="18"/>
          <w:szCs w:val="18"/>
          <w:highlight w:val="none"/>
        </w:rPr>
      </w:pPr>
    </w:p>
    <w:p w14:paraId="1452E82F">
      <w:pPr>
        <w:rPr>
          <w:rFonts w:hint="eastAsia" w:ascii="仿宋" w:hAnsi="仿宋" w:eastAsia="仿宋"/>
          <w:sz w:val="18"/>
          <w:szCs w:val="18"/>
          <w:highlight w:val="none"/>
        </w:rPr>
      </w:pPr>
    </w:p>
    <w:p w14:paraId="1E04C5CB">
      <w:pPr>
        <w:rPr>
          <w:rFonts w:hint="eastAsia" w:ascii="仿宋" w:hAnsi="仿宋" w:eastAsia="仿宋"/>
          <w:sz w:val="18"/>
          <w:szCs w:val="18"/>
          <w:highlight w:val="none"/>
        </w:rPr>
      </w:pPr>
    </w:p>
    <w:p w14:paraId="01C1EC92">
      <w:pPr>
        <w:rPr>
          <w:rFonts w:hint="eastAsia" w:ascii="仿宋" w:hAnsi="仿宋" w:eastAsia="仿宋"/>
          <w:sz w:val="18"/>
          <w:szCs w:val="18"/>
          <w:highlight w:val="none"/>
        </w:rPr>
      </w:pPr>
    </w:p>
    <w:p w14:paraId="65690167">
      <w:pPr>
        <w:rPr>
          <w:rFonts w:hint="eastAsia" w:ascii="仿宋" w:hAnsi="仿宋" w:eastAsia="仿宋"/>
          <w:sz w:val="18"/>
          <w:szCs w:val="18"/>
          <w:highlight w:val="none"/>
        </w:rPr>
      </w:pPr>
    </w:p>
    <w:p w14:paraId="6C96E421">
      <w:pPr>
        <w:rPr>
          <w:rFonts w:hint="eastAsia" w:ascii="仿宋" w:hAnsi="仿宋" w:eastAsia="仿宋"/>
          <w:sz w:val="18"/>
          <w:szCs w:val="18"/>
          <w:highlight w:val="none"/>
        </w:rPr>
      </w:pPr>
    </w:p>
    <w:p w14:paraId="7EBAD6F5">
      <w:pPr>
        <w:rPr>
          <w:rFonts w:hint="eastAsia" w:ascii="仿宋" w:hAnsi="仿宋" w:eastAsia="仿宋"/>
          <w:sz w:val="18"/>
          <w:szCs w:val="18"/>
          <w:highlight w:val="none"/>
        </w:rPr>
      </w:pPr>
    </w:p>
    <w:p w14:paraId="7D247869">
      <w:pPr>
        <w:rPr>
          <w:rFonts w:hint="eastAsia" w:ascii="仿宋" w:hAnsi="仿宋" w:eastAsia="仿宋"/>
          <w:sz w:val="18"/>
          <w:szCs w:val="18"/>
          <w:highlight w:val="none"/>
        </w:rPr>
      </w:pPr>
    </w:p>
    <w:p w14:paraId="237BBC6C">
      <w:pPr>
        <w:rPr>
          <w:rFonts w:hint="eastAsia" w:ascii="仿宋" w:hAnsi="仿宋" w:eastAsia="仿宋"/>
          <w:sz w:val="18"/>
          <w:szCs w:val="18"/>
          <w:highlight w:val="none"/>
        </w:rPr>
      </w:pPr>
    </w:p>
    <w:p w14:paraId="58204364">
      <w:pPr>
        <w:rPr>
          <w:rFonts w:hint="eastAsia" w:ascii="仿宋" w:hAnsi="仿宋" w:eastAsia="仿宋"/>
          <w:sz w:val="18"/>
          <w:szCs w:val="18"/>
          <w:highlight w:val="none"/>
        </w:rPr>
      </w:pPr>
    </w:p>
    <w:p w14:paraId="6478D9D3">
      <w:pPr>
        <w:jc w:val="center"/>
        <w:rPr>
          <w:rFonts w:ascii="仿宋" w:hAnsi="仿宋" w:eastAsia="仿宋"/>
          <w:sz w:val="18"/>
          <w:szCs w:val="18"/>
          <w:highlight w:val="none"/>
        </w:rPr>
      </w:pPr>
      <w:r>
        <w:rPr>
          <w:rFonts w:hint="eastAsia" w:ascii="仿宋" w:hAnsi="仿宋" w:eastAsia="仿宋"/>
          <w:sz w:val="18"/>
          <w:szCs w:val="18"/>
          <w:highlight w:val="none"/>
        </w:rPr>
        <w:t>本理财产品说明书在法律许可范围内由大连农商银行负责解释</w:t>
      </w:r>
    </w:p>
    <w:p w14:paraId="01B68859">
      <w:pPr>
        <w:jc w:val="center"/>
        <w:rPr>
          <w:rFonts w:hint="eastAsia" w:ascii="仿宋_GB2312" w:hAnsi="宋体" w:eastAsia="仿宋_GB2312" w:cs="仿宋_GB2312"/>
          <w:b/>
          <w:bCs/>
          <w:color w:val="000000"/>
          <w:sz w:val="31"/>
          <w:szCs w:val="31"/>
          <w:highlight w:val="none"/>
          <w:lang w:val="en-US" w:eastAsia="zh-CN"/>
        </w:rPr>
      </w:pPr>
      <w:r>
        <w:rPr>
          <w:rFonts w:hint="eastAsia" w:ascii="仿宋" w:hAnsi="仿宋" w:eastAsia="仿宋"/>
          <w:sz w:val="18"/>
          <w:szCs w:val="18"/>
          <w:highlight w:val="none"/>
        </w:rPr>
        <w:t xml:space="preserve">★ </w:t>
      </w:r>
      <w:r>
        <w:rPr>
          <w:rFonts w:hint="eastAsia" w:ascii="仿宋" w:hAnsi="仿宋" w:eastAsia="仿宋"/>
          <w:b/>
          <w:bCs/>
          <w:sz w:val="18"/>
          <w:szCs w:val="18"/>
          <w:highlight w:val="none"/>
        </w:rPr>
        <w:t>理财非存款、产品有风险、投资须谨慎</w:t>
      </w:r>
    </w:p>
    <w:p w14:paraId="2AAA733E">
      <w:pPr>
        <w:ind w:firstLine="622" w:firstLineChars="200"/>
        <w:jc w:val="center"/>
        <w:rPr>
          <w:rFonts w:ascii="黑体" w:hAnsi="黑体" w:eastAsia="黑体"/>
          <w:b/>
          <w:bCs/>
          <w:sz w:val="36"/>
          <w:szCs w:val="44"/>
          <w:highlight w:val="none"/>
        </w:rPr>
      </w:pPr>
      <w:r>
        <w:rPr>
          <w:rFonts w:hint="eastAsia" w:ascii="仿宋_GB2312" w:hAnsi="宋体" w:eastAsia="仿宋_GB2312" w:cs="仿宋_GB2312"/>
          <w:b/>
          <w:bCs/>
          <w:color w:val="000000"/>
          <w:sz w:val="31"/>
          <w:szCs w:val="31"/>
          <w:highlight w:val="none"/>
          <w:lang w:val="en-US" w:eastAsia="zh-CN"/>
        </w:rPr>
        <w:t>大连农商银行金浪花理财产品客户权益须知</w:t>
      </w:r>
    </w:p>
    <w:p w14:paraId="4CB41390">
      <w:pPr>
        <w:rPr>
          <w:rFonts w:hint="eastAsia" w:ascii="仿宋" w:hAnsi="仿宋" w:eastAsia="仿宋" w:cs="Times New Roman"/>
          <w:sz w:val="18"/>
          <w:szCs w:val="18"/>
          <w:highlight w:val="none"/>
          <w:lang w:val="en-US" w:eastAsia="zh-CN"/>
        </w:rPr>
      </w:pPr>
      <w:r>
        <w:rPr>
          <w:rFonts w:hint="eastAsia" w:ascii="仿宋" w:hAnsi="仿宋" w:eastAsia="仿宋" w:cs="Times New Roman"/>
          <w:sz w:val="18"/>
          <w:szCs w:val="18"/>
          <w:highlight w:val="none"/>
          <w:lang w:val="en-US" w:eastAsia="zh-CN"/>
        </w:rPr>
        <w:t xml:space="preserve">尊敬的投资者： </w:t>
      </w:r>
    </w:p>
    <w:p w14:paraId="6813DC00">
      <w:pPr>
        <w:ind w:firstLine="361" w:firstLineChars="200"/>
        <w:rPr>
          <w:rFonts w:hint="eastAsia" w:ascii="仿宋" w:hAnsi="仿宋" w:eastAsia="仿宋" w:cs="Times New Roman"/>
          <w:sz w:val="18"/>
          <w:szCs w:val="18"/>
          <w:highlight w:val="none"/>
          <w:lang w:val="en-US" w:eastAsia="zh-CN"/>
        </w:rPr>
      </w:pPr>
      <w:r>
        <w:rPr>
          <w:rFonts w:hint="eastAsia" w:ascii="仿宋" w:hAnsi="仿宋" w:eastAsia="仿宋" w:cs="Times New Roman"/>
          <w:b/>
          <w:bCs/>
          <w:sz w:val="18"/>
          <w:szCs w:val="18"/>
          <w:highlight w:val="none"/>
          <w:lang w:val="en-US" w:eastAsia="zh-CN"/>
        </w:rPr>
        <w:t>理财非存款、产品有风险、投资须谨慎。</w:t>
      </w:r>
    </w:p>
    <w:p w14:paraId="5CEBDAF8">
      <w:pPr>
        <w:ind w:firstLine="360" w:firstLineChars="200"/>
        <w:rPr>
          <w:rFonts w:hint="eastAsia" w:ascii="仿宋" w:hAnsi="仿宋" w:eastAsia="仿宋" w:cs="Times New Roman"/>
          <w:sz w:val="18"/>
          <w:szCs w:val="18"/>
          <w:lang w:val="en-US" w:eastAsia="zh-CN"/>
        </w:rPr>
      </w:pPr>
      <w:r>
        <w:rPr>
          <w:rFonts w:hint="eastAsia" w:ascii="仿宋" w:hAnsi="仿宋" w:eastAsia="仿宋" w:cs="Times New Roman"/>
          <w:sz w:val="18"/>
          <w:szCs w:val="18"/>
          <w:highlight w:val="none"/>
          <w:lang w:val="en-US" w:eastAsia="zh-CN"/>
        </w:rPr>
        <w:t>为了保护您的合法权益，请在购买理财产品前认真阅读以下内容：首先，请在购买理财产品前，完成我行专门为您设计的风险承受能力评估流程，了解您的投资目标，风险偏好和产品需求。其次，请认真阅读理财产品的相关销售文件，具体为理财产品协议书、产品说明书、风险揭示书和客户权益须知等，然后选择购买与您自身风险承受能力相匹配的产品。您在阅读时如有不明之处，可及时向我行理财经理进行咨询。最后，请及时关注我行发布的理财产品相关的信息披露公告以及我行相关联络方式，当您对所购买的理财产品有任何异议或意见时请及时向我行反馈。我行将</w:t>
      </w:r>
      <w:r>
        <w:rPr>
          <w:rFonts w:hint="eastAsia" w:ascii="仿宋" w:hAnsi="仿宋" w:eastAsia="仿宋" w:cs="Times New Roman"/>
          <w:sz w:val="18"/>
          <w:szCs w:val="18"/>
          <w:lang w:val="en-US" w:eastAsia="zh-CN"/>
        </w:rPr>
        <w:t>以诚实守信、勤勉尽责的态度竭诚为您提供专业的服务。</w:t>
      </w:r>
    </w:p>
    <w:p w14:paraId="5F3C364E">
      <w:pPr>
        <w:ind w:firstLine="361" w:firstLineChars="200"/>
        <w:rPr>
          <w:rFonts w:hint="eastAsia" w:ascii="仿宋" w:hAnsi="仿宋" w:eastAsia="仿宋" w:cs="Times New Roman"/>
          <w:b/>
          <w:bCs/>
          <w:sz w:val="18"/>
          <w:szCs w:val="18"/>
          <w:lang w:val="en-US" w:eastAsia="zh-CN"/>
        </w:rPr>
      </w:pPr>
      <w:r>
        <w:rPr>
          <w:rFonts w:hint="eastAsia" w:ascii="仿宋" w:hAnsi="仿宋" w:eastAsia="仿宋" w:cs="Times New Roman"/>
          <w:b/>
          <w:bCs/>
          <w:sz w:val="18"/>
          <w:szCs w:val="18"/>
          <w:lang w:val="en-US" w:eastAsia="zh-CN"/>
        </w:rPr>
        <w:t>一、投资者购买理财产品办理流程</w:t>
      </w:r>
    </w:p>
    <w:p w14:paraId="1F3FFE84">
      <w:pPr>
        <w:ind w:firstLine="360" w:firstLineChars="200"/>
        <w:rPr>
          <w:rFonts w:hint="eastAsia" w:ascii="仿宋" w:hAnsi="仿宋" w:eastAsia="仿宋" w:cs="Times New Roman"/>
          <w:sz w:val="18"/>
          <w:szCs w:val="18"/>
          <w:lang w:val="en-US" w:eastAsia="zh-CN"/>
        </w:rPr>
      </w:pPr>
      <w:r>
        <w:rPr>
          <w:rFonts w:hint="eastAsia" w:ascii="仿宋" w:hAnsi="仿宋" w:eastAsia="仿宋" w:cs="Times New Roman"/>
          <w:sz w:val="18"/>
          <w:szCs w:val="18"/>
          <w:lang w:val="en-US" w:eastAsia="zh-CN"/>
        </w:rPr>
        <w:t>1、持本人有效身份证件开立理财账户。</w:t>
      </w:r>
    </w:p>
    <w:p w14:paraId="397209DE">
      <w:pPr>
        <w:ind w:firstLine="360" w:firstLineChars="200"/>
        <w:rPr>
          <w:rFonts w:hint="eastAsia" w:ascii="仿宋" w:hAnsi="仿宋" w:eastAsia="仿宋" w:cs="Times New Roman"/>
          <w:sz w:val="18"/>
          <w:szCs w:val="18"/>
          <w:lang w:val="en-US" w:eastAsia="zh-CN"/>
        </w:rPr>
      </w:pPr>
      <w:r>
        <w:rPr>
          <w:rFonts w:hint="eastAsia" w:ascii="仿宋" w:hAnsi="仿宋" w:eastAsia="仿宋" w:cs="Times New Roman"/>
          <w:sz w:val="18"/>
          <w:szCs w:val="18"/>
          <w:lang w:val="en-US" w:eastAsia="zh-CN"/>
        </w:rPr>
        <w:t xml:space="preserve">2、个人投资者需独立完成并接受我行对您的风险承受能力评估，根据自身财务状况、投资经验、投资目的、收益预期、风险偏好、流动性要求、风险认识以及风险损失承受程度等方面，评估您的投资需求和风险承受能力，依据评估结果选择适合的理财产品。 </w:t>
      </w:r>
    </w:p>
    <w:p w14:paraId="5260882A">
      <w:pPr>
        <w:ind w:firstLine="360" w:firstLineChars="200"/>
        <w:rPr>
          <w:rFonts w:hint="eastAsia" w:ascii="仿宋" w:hAnsi="仿宋" w:eastAsia="仿宋" w:cs="Times New Roman"/>
          <w:sz w:val="18"/>
          <w:szCs w:val="18"/>
          <w:lang w:val="en-US" w:eastAsia="zh-CN"/>
        </w:rPr>
      </w:pPr>
      <w:r>
        <w:rPr>
          <w:rFonts w:hint="eastAsia" w:ascii="仿宋" w:hAnsi="仿宋" w:eastAsia="仿宋" w:cs="Times New Roman"/>
          <w:sz w:val="18"/>
          <w:szCs w:val="18"/>
          <w:lang w:val="en-US" w:eastAsia="zh-CN"/>
        </w:rPr>
        <w:t xml:space="preserve">3、大连农商银行营业网点实施理财产品销售专区管理，投资者通过营业网点购买理财产品时，需要在销售专区对每只理财产品销售过程进行录音录像，并认真阅读及签署相关销售文件，然后进行购买操作。 </w:t>
      </w:r>
    </w:p>
    <w:p w14:paraId="23FC42DA">
      <w:pPr>
        <w:ind w:firstLine="360" w:firstLineChars="200"/>
        <w:rPr>
          <w:rFonts w:hint="eastAsia" w:ascii="仿宋" w:hAnsi="仿宋" w:eastAsia="仿宋" w:cs="Times New Roman"/>
          <w:sz w:val="18"/>
          <w:szCs w:val="18"/>
          <w:lang w:val="en-US" w:eastAsia="zh-CN"/>
        </w:rPr>
      </w:pPr>
      <w:r>
        <w:rPr>
          <w:rFonts w:hint="eastAsia" w:ascii="仿宋" w:hAnsi="仿宋" w:eastAsia="仿宋" w:cs="Times New Roman"/>
          <w:sz w:val="18"/>
          <w:szCs w:val="18"/>
          <w:lang w:val="en-US" w:eastAsia="zh-CN"/>
        </w:rPr>
        <w:t>4、个人投资者通过网上银行、手机银行等电子渠道购买理财产品时，可通过电子渠道理财产品详情页面相关要素展示及销售文件了解产品要素。操作流程可根据电子渠道指引进行。</w:t>
      </w:r>
    </w:p>
    <w:p w14:paraId="1F9D69FB">
      <w:pPr>
        <w:ind w:firstLine="361" w:firstLineChars="200"/>
        <w:rPr>
          <w:rFonts w:hint="eastAsia" w:ascii="仿宋" w:hAnsi="仿宋" w:eastAsia="仿宋" w:cs="Times New Roman"/>
          <w:sz w:val="18"/>
          <w:szCs w:val="18"/>
          <w:lang w:val="en-US" w:eastAsia="zh-CN"/>
        </w:rPr>
      </w:pPr>
      <w:r>
        <w:rPr>
          <w:rFonts w:hint="eastAsia" w:ascii="仿宋" w:hAnsi="仿宋" w:eastAsia="仿宋" w:cs="Times New Roman"/>
          <w:b/>
          <w:bCs/>
          <w:sz w:val="18"/>
          <w:szCs w:val="18"/>
          <w:lang w:val="en-US" w:eastAsia="zh-CN"/>
        </w:rPr>
        <w:t>二、投资者风险承受能力评估</w:t>
      </w:r>
    </w:p>
    <w:p w14:paraId="74F79247">
      <w:pPr>
        <w:ind w:firstLine="360" w:firstLineChars="200"/>
        <w:rPr>
          <w:rFonts w:hint="eastAsia" w:ascii="仿宋" w:hAnsi="仿宋" w:eastAsia="仿宋" w:cs="Times New Roman"/>
          <w:sz w:val="18"/>
          <w:szCs w:val="18"/>
          <w:lang w:val="en-US" w:eastAsia="zh-CN"/>
        </w:rPr>
      </w:pPr>
      <w:r>
        <w:rPr>
          <w:rFonts w:hint="eastAsia" w:ascii="仿宋" w:hAnsi="仿宋" w:eastAsia="仿宋" w:cs="Times New Roman"/>
          <w:sz w:val="18"/>
          <w:szCs w:val="18"/>
          <w:lang w:val="en-US" w:eastAsia="zh-CN"/>
        </w:rPr>
        <w:t>1、根据监管机构相关规定要求，在首次购买自营理财产品时，您需要接受风险承受能力评估，以保障您购买的理财产品与自身风险承受能力相匹配。我行投资者风险承受能力评估结果有效期为一年，超过一年未进行风险承受能力评估或发生可能影响自身风险承受能力情况的投资者，再次购买理财产品前，应重新完成风险承受能力评估。</w:t>
      </w:r>
    </w:p>
    <w:p w14:paraId="58B3B4AA">
      <w:pPr>
        <w:ind w:firstLine="360" w:firstLineChars="200"/>
        <w:rPr>
          <w:rFonts w:hint="eastAsia" w:ascii="仿宋" w:hAnsi="仿宋" w:eastAsia="仿宋" w:cs="Times New Roman"/>
          <w:sz w:val="18"/>
          <w:szCs w:val="18"/>
          <w:lang w:val="en-US" w:eastAsia="zh-CN"/>
        </w:rPr>
      </w:pPr>
      <w:r>
        <w:rPr>
          <w:rFonts w:hint="eastAsia" w:ascii="仿宋" w:hAnsi="仿宋" w:eastAsia="仿宋" w:cs="Times New Roman"/>
          <w:sz w:val="18"/>
          <w:szCs w:val="18"/>
          <w:lang w:val="en-US" w:eastAsia="zh-CN"/>
        </w:rPr>
        <w:t>2、我行将从财务状况、投资经验、投资目的、收益预期、风险偏好、流动性要求、风险认识以及风险损失承受程度等方面，协助您全面了解自身的投资需求和风险承受能力，帮助您选择适合自己风险承受能力的理财产品。</w:t>
      </w:r>
    </w:p>
    <w:p w14:paraId="45193D5C">
      <w:pPr>
        <w:ind w:firstLine="360" w:firstLineChars="200"/>
        <w:rPr>
          <w:rFonts w:hint="eastAsia" w:ascii="仿宋" w:hAnsi="仿宋" w:eastAsia="仿宋" w:cs="Times New Roman"/>
          <w:sz w:val="18"/>
          <w:szCs w:val="18"/>
          <w:lang w:val="en-US" w:eastAsia="zh-CN"/>
        </w:rPr>
      </w:pPr>
      <w:r>
        <w:rPr>
          <w:rFonts w:hint="eastAsia" w:ascii="仿宋" w:hAnsi="仿宋" w:eastAsia="仿宋" w:cs="Times New Roman"/>
          <w:sz w:val="18"/>
          <w:szCs w:val="18"/>
          <w:lang w:val="en-US" w:eastAsia="zh-CN"/>
        </w:rPr>
        <w:t>3、根据投资者的不同情况，我行将投资者风险承受能力分为谨慎型（C1）、稳健型（C2）、平衡型（C3）、进取型（C4）、激进型（C5）五个等级。同时，根据理财产品投资范围、风险收益特点、流动性等不同因素将理财产品分为 R1 级（低风险）、R2 级（中低风险）、R3 级（中风险）、R4 级（中高风险）、R5 级（高风险）五个风险等级。我行根据风险匹配原则，在投资者风险承受能力等级和产品风险等级之间建立如下对应关系，建议您根据自身情况，选择适合自己风险承受能力的理财产品，详见下表：</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4"/>
        <w:gridCol w:w="3696"/>
        <w:gridCol w:w="3442"/>
      </w:tblGrid>
      <w:tr w14:paraId="1E882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Pr>
          <w:p w14:paraId="7453BBA0">
            <w:pPr>
              <w:rPr>
                <w:rFonts w:hint="eastAsia" w:ascii="仿宋" w:hAnsi="仿宋" w:eastAsia="仿宋" w:cs="Times New Roman"/>
                <w:sz w:val="18"/>
                <w:szCs w:val="18"/>
                <w:lang w:val="en-US" w:eastAsia="zh-CN"/>
              </w:rPr>
            </w:pPr>
            <w:r>
              <w:rPr>
                <w:rFonts w:hint="eastAsia" w:ascii="仿宋" w:hAnsi="仿宋" w:eastAsia="仿宋" w:cs="Times New Roman"/>
                <w:sz w:val="18"/>
                <w:szCs w:val="18"/>
                <w:lang w:val="en-US" w:eastAsia="zh-CN"/>
              </w:rPr>
              <w:t>客户类型</w:t>
            </w:r>
          </w:p>
        </w:tc>
        <w:tc>
          <w:tcPr>
            <w:tcW w:w="3696" w:type="dxa"/>
          </w:tcPr>
          <w:p w14:paraId="4B51E030">
            <w:pPr>
              <w:rPr>
                <w:rFonts w:hint="eastAsia" w:ascii="仿宋" w:hAnsi="仿宋" w:eastAsia="仿宋" w:cs="Times New Roman"/>
                <w:sz w:val="18"/>
                <w:szCs w:val="18"/>
                <w:lang w:val="en-US" w:eastAsia="zh-CN"/>
              </w:rPr>
            </w:pPr>
            <w:r>
              <w:rPr>
                <w:rFonts w:hint="eastAsia" w:ascii="仿宋" w:hAnsi="仿宋" w:eastAsia="仿宋" w:cs="Times New Roman"/>
                <w:sz w:val="18"/>
                <w:szCs w:val="18"/>
                <w:lang w:val="en-US" w:eastAsia="zh-CN"/>
              </w:rPr>
              <w:t>风险特征描述</w:t>
            </w:r>
          </w:p>
        </w:tc>
        <w:tc>
          <w:tcPr>
            <w:tcW w:w="3442" w:type="dxa"/>
          </w:tcPr>
          <w:p w14:paraId="1F125D0B">
            <w:pPr>
              <w:rPr>
                <w:rFonts w:hint="eastAsia" w:ascii="仿宋" w:hAnsi="仿宋" w:eastAsia="仿宋" w:cs="Times New Roman"/>
                <w:sz w:val="18"/>
                <w:szCs w:val="18"/>
                <w:lang w:val="en-US" w:eastAsia="zh-CN"/>
              </w:rPr>
            </w:pPr>
            <w:r>
              <w:rPr>
                <w:rFonts w:hint="eastAsia" w:ascii="仿宋" w:hAnsi="仿宋" w:eastAsia="仿宋" w:cs="Times New Roman"/>
                <w:sz w:val="18"/>
                <w:szCs w:val="18"/>
                <w:lang w:val="en-US" w:eastAsia="zh-CN"/>
              </w:rPr>
              <w:t>适合产品类型</w:t>
            </w:r>
          </w:p>
        </w:tc>
      </w:tr>
      <w:tr w14:paraId="5D8DC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Pr>
          <w:p w14:paraId="69349B64">
            <w:pPr>
              <w:rPr>
                <w:rFonts w:hint="eastAsia" w:ascii="仿宋" w:hAnsi="仿宋" w:eastAsia="仿宋" w:cs="Times New Roman"/>
                <w:sz w:val="18"/>
                <w:szCs w:val="18"/>
                <w:lang w:val="en-US" w:eastAsia="zh-CN"/>
              </w:rPr>
            </w:pPr>
            <w:r>
              <w:rPr>
                <w:rFonts w:hint="eastAsia" w:ascii="仿宋" w:hAnsi="仿宋" w:eastAsia="仿宋" w:cs="Times New Roman"/>
                <w:sz w:val="18"/>
                <w:szCs w:val="18"/>
                <w:lang w:val="en-US" w:eastAsia="zh-CN"/>
              </w:rPr>
              <w:t>C1（谨慎型）</w:t>
            </w:r>
          </w:p>
        </w:tc>
        <w:tc>
          <w:tcPr>
            <w:tcW w:w="3696" w:type="dxa"/>
          </w:tcPr>
          <w:p w14:paraId="223A4577">
            <w:pPr>
              <w:rPr>
                <w:rFonts w:hint="eastAsia" w:ascii="仿宋" w:hAnsi="仿宋" w:eastAsia="仿宋" w:cs="Times New Roman"/>
                <w:sz w:val="18"/>
                <w:szCs w:val="18"/>
                <w:lang w:val="en-US" w:eastAsia="zh-CN"/>
              </w:rPr>
            </w:pPr>
            <w:r>
              <w:rPr>
                <w:rFonts w:hint="eastAsia" w:ascii="仿宋" w:hAnsi="仿宋" w:eastAsia="仿宋" w:cs="Times New Roman"/>
                <w:sz w:val="18"/>
                <w:szCs w:val="18"/>
                <w:lang w:val="en-US" w:eastAsia="zh-CN"/>
              </w:rPr>
              <w:t>可以承担低风险的投资者，能够接受本金损失概率低的产品。</w:t>
            </w:r>
          </w:p>
        </w:tc>
        <w:tc>
          <w:tcPr>
            <w:tcW w:w="3442" w:type="dxa"/>
          </w:tcPr>
          <w:p w14:paraId="30879C8E">
            <w:pPr>
              <w:rPr>
                <w:rFonts w:hint="eastAsia" w:ascii="仿宋" w:hAnsi="仿宋" w:eastAsia="仿宋" w:cs="Times New Roman"/>
                <w:sz w:val="18"/>
                <w:szCs w:val="18"/>
                <w:lang w:val="en-US" w:eastAsia="zh-CN"/>
              </w:rPr>
            </w:pPr>
            <w:r>
              <w:rPr>
                <w:rFonts w:hint="eastAsia" w:ascii="仿宋" w:hAnsi="仿宋" w:eastAsia="仿宋" w:cs="Times New Roman"/>
                <w:sz w:val="18"/>
                <w:szCs w:val="18"/>
                <w:lang w:val="en-US" w:eastAsia="zh-CN"/>
              </w:rPr>
              <w:t>R1 级（低风险）</w:t>
            </w:r>
          </w:p>
        </w:tc>
      </w:tr>
      <w:tr w14:paraId="0CFA1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Pr>
          <w:p w14:paraId="224594D6">
            <w:pPr>
              <w:rPr>
                <w:rFonts w:hint="eastAsia" w:ascii="仿宋" w:hAnsi="仿宋" w:eastAsia="仿宋" w:cs="Times New Roman"/>
                <w:sz w:val="18"/>
                <w:szCs w:val="18"/>
                <w:lang w:val="en-US" w:eastAsia="zh-CN"/>
              </w:rPr>
            </w:pPr>
            <w:r>
              <w:rPr>
                <w:rFonts w:hint="eastAsia" w:ascii="仿宋" w:hAnsi="仿宋" w:eastAsia="仿宋" w:cs="Times New Roman"/>
                <w:sz w:val="18"/>
                <w:szCs w:val="18"/>
                <w:lang w:val="en-US" w:eastAsia="zh-CN"/>
              </w:rPr>
              <w:t>C2（稳健型）</w:t>
            </w:r>
          </w:p>
        </w:tc>
        <w:tc>
          <w:tcPr>
            <w:tcW w:w="3696" w:type="dxa"/>
          </w:tcPr>
          <w:p w14:paraId="626B8BD7">
            <w:pPr>
              <w:rPr>
                <w:rFonts w:hint="eastAsia" w:ascii="仿宋" w:hAnsi="仿宋" w:eastAsia="仿宋" w:cs="Times New Roman"/>
                <w:sz w:val="18"/>
                <w:szCs w:val="18"/>
                <w:lang w:val="en-US" w:eastAsia="zh-CN"/>
              </w:rPr>
            </w:pPr>
            <w:r>
              <w:rPr>
                <w:rFonts w:hint="eastAsia" w:ascii="仿宋" w:hAnsi="仿宋" w:eastAsia="仿宋" w:cs="Times New Roman"/>
                <w:sz w:val="18"/>
                <w:szCs w:val="18"/>
                <w:lang w:val="en-US" w:eastAsia="zh-CN"/>
              </w:rPr>
              <w:t>可以承担中低风险的投资者，能够接受本金损失概率较低的产品。</w:t>
            </w:r>
          </w:p>
        </w:tc>
        <w:tc>
          <w:tcPr>
            <w:tcW w:w="3442" w:type="dxa"/>
          </w:tcPr>
          <w:p w14:paraId="52E0967D">
            <w:pPr>
              <w:rPr>
                <w:rFonts w:hint="eastAsia" w:ascii="仿宋" w:hAnsi="仿宋" w:eastAsia="仿宋" w:cs="Times New Roman"/>
                <w:sz w:val="18"/>
                <w:szCs w:val="18"/>
                <w:lang w:val="en-US" w:eastAsia="zh-CN"/>
              </w:rPr>
            </w:pPr>
            <w:r>
              <w:rPr>
                <w:rFonts w:hint="eastAsia" w:ascii="仿宋" w:hAnsi="仿宋" w:eastAsia="仿宋" w:cs="Times New Roman"/>
                <w:sz w:val="18"/>
                <w:szCs w:val="18"/>
                <w:lang w:val="en-US" w:eastAsia="zh-CN"/>
              </w:rPr>
              <w:t>R1 级（低风险）、R2 级（中低风险）</w:t>
            </w:r>
          </w:p>
        </w:tc>
      </w:tr>
      <w:tr w14:paraId="65C4F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Pr>
          <w:p w14:paraId="7211A0CA">
            <w:pPr>
              <w:rPr>
                <w:rFonts w:hint="eastAsia" w:ascii="仿宋" w:hAnsi="仿宋" w:eastAsia="仿宋" w:cs="Times New Roman"/>
                <w:sz w:val="18"/>
                <w:szCs w:val="18"/>
                <w:lang w:val="en-US" w:eastAsia="zh-CN"/>
              </w:rPr>
            </w:pPr>
            <w:r>
              <w:rPr>
                <w:rFonts w:hint="eastAsia" w:ascii="仿宋" w:hAnsi="仿宋" w:eastAsia="仿宋" w:cs="Times New Roman"/>
                <w:sz w:val="18"/>
                <w:szCs w:val="18"/>
                <w:lang w:val="en-US" w:eastAsia="zh-CN"/>
              </w:rPr>
              <w:t>C3（平衡型）</w:t>
            </w:r>
          </w:p>
        </w:tc>
        <w:tc>
          <w:tcPr>
            <w:tcW w:w="3696" w:type="dxa"/>
          </w:tcPr>
          <w:p w14:paraId="29524F55">
            <w:pPr>
              <w:rPr>
                <w:rFonts w:hint="eastAsia" w:ascii="仿宋" w:hAnsi="仿宋" w:eastAsia="仿宋" w:cs="Times New Roman"/>
                <w:sz w:val="18"/>
                <w:szCs w:val="18"/>
                <w:lang w:val="en-US" w:eastAsia="zh-CN"/>
              </w:rPr>
            </w:pPr>
            <w:r>
              <w:rPr>
                <w:rFonts w:hint="eastAsia" w:ascii="仿宋" w:hAnsi="仿宋" w:eastAsia="仿宋" w:cs="Times New Roman"/>
                <w:sz w:val="18"/>
                <w:szCs w:val="18"/>
                <w:lang w:val="en-US" w:eastAsia="zh-CN"/>
              </w:rPr>
              <w:t>可以承担中等风险的投资者，能够接受本金损失概率中等的产品。</w:t>
            </w:r>
          </w:p>
        </w:tc>
        <w:tc>
          <w:tcPr>
            <w:tcW w:w="3442" w:type="dxa"/>
          </w:tcPr>
          <w:p w14:paraId="55BA43B9">
            <w:pPr>
              <w:rPr>
                <w:rFonts w:hint="eastAsia" w:ascii="仿宋" w:hAnsi="仿宋" w:eastAsia="仿宋" w:cs="Times New Roman"/>
                <w:sz w:val="18"/>
                <w:szCs w:val="18"/>
                <w:lang w:val="en-US" w:eastAsia="zh-CN"/>
              </w:rPr>
            </w:pPr>
            <w:r>
              <w:rPr>
                <w:rFonts w:hint="eastAsia" w:ascii="仿宋" w:hAnsi="仿宋" w:eastAsia="仿宋" w:cs="Times New Roman"/>
                <w:sz w:val="18"/>
                <w:szCs w:val="18"/>
                <w:lang w:val="en-US" w:eastAsia="zh-CN"/>
              </w:rPr>
              <w:t>R1 级（低风险）、R2 级（中低风险）、R3 级（中风险）</w:t>
            </w:r>
          </w:p>
        </w:tc>
      </w:tr>
      <w:tr w14:paraId="3C106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Pr>
          <w:p w14:paraId="4FCC2F17">
            <w:pPr>
              <w:rPr>
                <w:rFonts w:hint="eastAsia" w:ascii="仿宋" w:hAnsi="仿宋" w:eastAsia="仿宋" w:cs="Times New Roman"/>
                <w:sz w:val="18"/>
                <w:szCs w:val="18"/>
                <w:lang w:val="en-US" w:eastAsia="zh-CN"/>
              </w:rPr>
            </w:pPr>
            <w:r>
              <w:rPr>
                <w:rFonts w:hint="eastAsia" w:ascii="仿宋" w:hAnsi="仿宋" w:eastAsia="仿宋" w:cs="Times New Roman"/>
                <w:sz w:val="18"/>
                <w:szCs w:val="18"/>
                <w:lang w:val="en-US" w:eastAsia="zh-CN"/>
              </w:rPr>
              <w:t>C4（进取型）</w:t>
            </w:r>
          </w:p>
        </w:tc>
        <w:tc>
          <w:tcPr>
            <w:tcW w:w="3696" w:type="dxa"/>
          </w:tcPr>
          <w:p w14:paraId="67375BF8">
            <w:pPr>
              <w:rPr>
                <w:rFonts w:hint="eastAsia" w:ascii="仿宋" w:hAnsi="仿宋" w:eastAsia="仿宋" w:cs="Times New Roman"/>
                <w:sz w:val="18"/>
                <w:szCs w:val="18"/>
                <w:lang w:val="en-US" w:eastAsia="zh-CN"/>
              </w:rPr>
            </w:pPr>
            <w:r>
              <w:rPr>
                <w:rFonts w:hint="eastAsia" w:ascii="仿宋" w:hAnsi="仿宋" w:eastAsia="仿宋" w:cs="Times New Roman"/>
                <w:sz w:val="18"/>
                <w:szCs w:val="18"/>
                <w:lang w:val="en-US" w:eastAsia="zh-CN"/>
              </w:rPr>
              <w:t>可以承担中高风险的投资者，能够接受本金损失概率较高的产品。</w:t>
            </w:r>
          </w:p>
        </w:tc>
        <w:tc>
          <w:tcPr>
            <w:tcW w:w="3442" w:type="dxa"/>
          </w:tcPr>
          <w:p w14:paraId="51D03865">
            <w:pPr>
              <w:rPr>
                <w:rFonts w:hint="eastAsia" w:ascii="仿宋" w:hAnsi="仿宋" w:eastAsia="仿宋" w:cs="Times New Roman"/>
                <w:sz w:val="18"/>
                <w:szCs w:val="18"/>
                <w:lang w:val="en-US" w:eastAsia="zh-CN"/>
              </w:rPr>
            </w:pPr>
            <w:r>
              <w:rPr>
                <w:rFonts w:hint="eastAsia" w:ascii="仿宋" w:hAnsi="仿宋" w:eastAsia="仿宋" w:cs="Times New Roman"/>
                <w:sz w:val="18"/>
                <w:szCs w:val="18"/>
                <w:lang w:val="en-US" w:eastAsia="zh-CN"/>
              </w:rPr>
              <w:t>R1 级（低风险）、R2 级（中低风险）、R3 级（中风险）、R4 级（中高风险）</w:t>
            </w:r>
          </w:p>
        </w:tc>
      </w:tr>
      <w:tr w14:paraId="5E11A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Pr>
          <w:p w14:paraId="5D05AEDB">
            <w:pPr>
              <w:rPr>
                <w:rFonts w:hint="eastAsia" w:ascii="仿宋" w:hAnsi="仿宋" w:eastAsia="仿宋" w:cs="Times New Roman"/>
                <w:sz w:val="18"/>
                <w:szCs w:val="18"/>
                <w:lang w:val="en-US" w:eastAsia="zh-CN"/>
              </w:rPr>
            </w:pPr>
            <w:r>
              <w:rPr>
                <w:rFonts w:hint="eastAsia" w:ascii="仿宋" w:hAnsi="仿宋" w:eastAsia="仿宋" w:cs="Times New Roman"/>
                <w:sz w:val="18"/>
                <w:szCs w:val="18"/>
                <w:lang w:val="en-US" w:eastAsia="zh-CN"/>
              </w:rPr>
              <w:t>C5（激进型）</w:t>
            </w:r>
          </w:p>
        </w:tc>
        <w:tc>
          <w:tcPr>
            <w:tcW w:w="3696" w:type="dxa"/>
          </w:tcPr>
          <w:p w14:paraId="3E11F7A7">
            <w:pPr>
              <w:rPr>
                <w:rFonts w:hint="eastAsia" w:ascii="仿宋" w:hAnsi="仿宋" w:eastAsia="仿宋" w:cs="Times New Roman"/>
                <w:sz w:val="18"/>
                <w:szCs w:val="18"/>
                <w:lang w:val="en-US" w:eastAsia="zh-CN"/>
              </w:rPr>
            </w:pPr>
            <w:r>
              <w:rPr>
                <w:rFonts w:hint="eastAsia" w:ascii="仿宋" w:hAnsi="仿宋" w:eastAsia="仿宋" w:cs="Times New Roman"/>
                <w:sz w:val="18"/>
                <w:szCs w:val="18"/>
                <w:lang w:val="en-US" w:eastAsia="zh-CN"/>
              </w:rPr>
              <w:t>可以承担高风险的投资者，能够接受本金损失概率高的产品。</w:t>
            </w:r>
          </w:p>
        </w:tc>
        <w:tc>
          <w:tcPr>
            <w:tcW w:w="3442" w:type="dxa"/>
          </w:tcPr>
          <w:p w14:paraId="52569151">
            <w:pPr>
              <w:rPr>
                <w:rFonts w:hint="eastAsia" w:ascii="仿宋" w:hAnsi="仿宋" w:eastAsia="仿宋" w:cs="Times New Roman"/>
                <w:sz w:val="18"/>
                <w:szCs w:val="18"/>
                <w:lang w:val="en-US" w:eastAsia="zh-CN"/>
              </w:rPr>
            </w:pPr>
            <w:r>
              <w:rPr>
                <w:rFonts w:hint="eastAsia" w:ascii="仿宋" w:hAnsi="仿宋" w:eastAsia="仿宋" w:cs="Times New Roman"/>
                <w:sz w:val="18"/>
                <w:szCs w:val="18"/>
                <w:lang w:val="en-US" w:eastAsia="zh-CN"/>
              </w:rPr>
              <w:t>R1 级（低风险）、R2 级（中低风险）、R3 级（中风险）、R4 级（中高风险）、R5 级（高风险）</w:t>
            </w:r>
          </w:p>
        </w:tc>
      </w:tr>
    </w:tbl>
    <w:p w14:paraId="67395ED0">
      <w:pPr>
        <w:ind w:firstLine="361" w:firstLineChars="200"/>
        <w:rPr>
          <w:rFonts w:hint="eastAsia" w:ascii="仿宋" w:hAnsi="仿宋" w:eastAsia="仿宋" w:cs="Times New Roman"/>
          <w:sz w:val="18"/>
          <w:szCs w:val="18"/>
          <w:lang w:val="en-US" w:eastAsia="zh-CN"/>
        </w:rPr>
      </w:pPr>
      <w:r>
        <w:rPr>
          <w:rFonts w:hint="eastAsia" w:ascii="仿宋" w:hAnsi="仿宋" w:eastAsia="仿宋" w:cs="Times New Roman"/>
          <w:b/>
          <w:bCs/>
          <w:sz w:val="18"/>
          <w:szCs w:val="18"/>
          <w:lang w:val="en-US" w:eastAsia="zh-CN"/>
        </w:rPr>
        <w:t>三、其他事项</w:t>
      </w:r>
    </w:p>
    <w:p w14:paraId="3EDA95BD">
      <w:pPr>
        <w:ind w:firstLine="360" w:firstLineChars="200"/>
        <w:rPr>
          <w:rFonts w:hint="eastAsia" w:ascii="仿宋" w:hAnsi="仿宋" w:eastAsia="仿宋" w:cs="Times New Roman"/>
          <w:sz w:val="18"/>
          <w:szCs w:val="18"/>
          <w:lang w:val="en-US" w:eastAsia="zh-CN"/>
        </w:rPr>
      </w:pPr>
      <w:r>
        <w:rPr>
          <w:rFonts w:hint="eastAsia" w:ascii="仿宋" w:hAnsi="仿宋" w:eastAsia="仿宋" w:cs="Times New Roman"/>
          <w:sz w:val="18"/>
          <w:szCs w:val="18"/>
          <w:lang w:val="en-US" w:eastAsia="zh-CN"/>
        </w:rPr>
        <w:t xml:space="preserve">1、因投资者购买资金扣款失败导致理财产品认购失败的，大连农商银行不承担责任。 </w:t>
      </w:r>
    </w:p>
    <w:p w14:paraId="78B32AE3">
      <w:pPr>
        <w:ind w:firstLine="360" w:firstLineChars="200"/>
        <w:rPr>
          <w:rFonts w:hint="eastAsia" w:ascii="仿宋" w:hAnsi="仿宋" w:eastAsia="仿宋" w:cs="Times New Roman"/>
          <w:sz w:val="18"/>
          <w:szCs w:val="18"/>
          <w:lang w:val="en-US" w:eastAsia="zh-CN"/>
        </w:rPr>
      </w:pPr>
      <w:r>
        <w:rPr>
          <w:rFonts w:hint="eastAsia" w:ascii="仿宋" w:hAnsi="仿宋" w:eastAsia="仿宋" w:cs="Times New Roman"/>
          <w:sz w:val="18"/>
          <w:szCs w:val="18"/>
          <w:lang w:val="en-US" w:eastAsia="zh-CN"/>
        </w:rPr>
        <w:t xml:space="preserve">2、因账户冻结、挂失、换卡、销户、长期不动户等原因造成投资者理财账户变更或异常的，投资者应及时办理变更手续，如因投资者未及时办理变更手续而导致理财认购失败或者理财到期资金入账失败的，大连农商银行不承担责任。 </w:t>
      </w:r>
    </w:p>
    <w:p w14:paraId="54CED352">
      <w:pPr>
        <w:ind w:firstLine="360" w:firstLineChars="200"/>
        <w:rPr>
          <w:rFonts w:hint="eastAsia" w:ascii="仿宋" w:hAnsi="仿宋" w:eastAsia="仿宋" w:cs="Times New Roman"/>
          <w:sz w:val="18"/>
          <w:szCs w:val="18"/>
          <w:lang w:val="en-US" w:eastAsia="zh-CN"/>
        </w:rPr>
      </w:pPr>
      <w:r>
        <w:rPr>
          <w:rFonts w:hint="eastAsia" w:ascii="仿宋" w:hAnsi="仿宋" w:eastAsia="仿宋" w:cs="Times New Roman"/>
          <w:sz w:val="18"/>
          <w:szCs w:val="18"/>
          <w:lang w:val="en-US" w:eastAsia="zh-CN"/>
        </w:rPr>
        <w:t>3、因有权机关采取强制措施对投资者相关账户予以冻结或对投资者的资金予以冻结、扣划、处置而导致理财认购失败或者理财到期资金入账失败的，大连农商银行不承担责任。</w:t>
      </w:r>
    </w:p>
    <w:p w14:paraId="234EC496">
      <w:pPr>
        <w:ind w:firstLine="360" w:firstLineChars="200"/>
        <w:rPr>
          <w:rFonts w:hint="eastAsia" w:ascii="仿宋" w:hAnsi="仿宋" w:eastAsia="仿宋" w:cs="Times New Roman"/>
          <w:sz w:val="18"/>
          <w:szCs w:val="18"/>
          <w:lang w:val="en-US" w:eastAsia="zh-CN"/>
        </w:rPr>
      </w:pPr>
      <w:r>
        <w:rPr>
          <w:rFonts w:hint="eastAsia" w:ascii="仿宋" w:hAnsi="仿宋" w:eastAsia="仿宋" w:cs="Times New Roman"/>
          <w:sz w:val="18"/>
          <w:szCs w:val="18"/>
          <w:lang w:val="en-US" w:eastAsia="zh-CN"/>
        </w:rPr>
        <w:t xml:space="preserve">4、投资者如对理财收益存有异议，应在其知晓或应当知晓其收益后的 5 个工作日内向大连农商银行提出，否则视为对该收益的认可。本协议中涉及的所有日期如遇国家法定假日，则顺延至下一个工作日，由此导致的风险，大连农商银行不承担责任。 </w:t>
      </w:r>
    </w:p>
    <w:p w14:paraId="4F77879F">
      <w:pPr>
        <w:ind w:firstLine="360" w:firstLineChars="200"/>
        <w:rPr>
          <w:rFonts w:hint="eastAsia" w:ascii="仿宋" w:hAnsi="仿宋" w:eastAsia="仿宋" w:cs="Times New Roman"/>
          <w:sz w:val="18"/>
          <w:szCs w:val="18"/>
          <w:lang w:val="en-US" w:eastAsia="zh-CN"/>
        </w:rPr>
      </w:pPr>
      <w:r>
        <w:rPr>
          <w:rFonts w:hint="eastAsia" w:ascii="仿宋" w:hAnsi="仿宋" w:eastAsia="仿宋" w:cs="Times New Roman"/>
          <w:sz w:val="18"/>
          <w:szCs w:val="18"/>
          <w:lang w:val="en-US" w:eastAsia="zh-CN"/>
        </w:rPr>
        <w:t xml:space="preserve">5、大连农商银行向投资者支付的投资理财收益（如有）为未扣税收益，税款由投资者按税务机关相关法规办理，大连农商银行不承担代扣代缴相关税款的责任。 </w:t>
      </w:r>
    </w:p>
    <w:p w14:paraId="469FF27F">
      <w:pPr>
        <w:ind w:firstLine="360" w:firstLineChars="200"/>
        <w:rPr>
          <w:rFonts w:hint="eastAsia" w:ascii="仿宋" w:hAnsi="仿宋" w:eastAsia="仿宋" w:cs="Times New Roman"/>
          <w:sz w:val="18"/>
          <w:szCs w:val="18"/>
          <w:lang w:val="en-US" w:eastAsia="zh-CN"/>
        </w:rPr>
      </w:pPr>
      <w:r>
        <w:rPr>
          <w:rFonts w:hint="eastAsia" w:ascii="仿宋" w:hAnsi="仿宋" w:eastAsia="仿宋" w:cs="Times New Roman"/>
          <w:sz w:val="18"/>
          <w:szCs w:val="18"/>
          <w:lang w:val="en-US" w:eastAsia="zh-CN"/>
        </w:rPr>
        <w:t xml:space="preserve">6、有关理财产品相关信息的披露方式、渠道和频率，您可根据产品说明书中所载明的 “理财产品信息披露” 的约定，及时通过约定方式进行查询或致电大连农商银行全国统一客户服务与消费投诉热线进行查询。 </w:t>
      </w:r>
    </w:p>
    <w:p w14:paraId="46FC180C">
      <w:pPr>
        <w:ind w:firstLine="360" w:firstLineChars="200"/>
        <w:rPr>
          <w:rFonts w:hint="eastAsia" w:ascii="仿宋" w:hAnsi="仿宋" w:eastAsia="仿宋" w:cs="Times New Roman"/>
          <w:sz w:val="18"/>
          <w:szCs w:val="18"/>
          <w:lang w:val="en-US" w:eastAsia="zh-CN"/>
        </w:rPr>
      </w:pPr>
      <w:r>
        <w:rPr>
          <w:rFonts w:hint="eastAsia" w:ascii="仿宋" w:hAnsi="仿宋" w:eastAsia="仿宋" w:cs="Times New Roman"/>
          <w:sz w:val="18"/>
          <w:szCs w:val="18"/>
          <w:lang w:val="en-US" w:eastAsia="zh-CN"/>
        </w:rPr>
        <w:t xml:space="preserve">7、如您对所购买的理财产品有任何意见或建议，请联系大连农商银行理财经理或反馈至大连农商银行各营业网点，也可致电大连农商银行全国统一客户服务与消费投诉热线，我行将及时受理并给予答复。 </w:t>
      </w:r>
    </w:p>
    <w:p w14:paraId="1EF73991">
      <w:pPr>
        <w:ind w:firstLine="360" w:firstLineChars="200"/>
        <w:rPr>
          <w:rFonts w:hint="eastAsia" w:ascii="仿宋" w:hAnsi="仿宋" w:eastAsia="仿宋" w:cs="Times New Roman"/>
          <w:sz w:val="18"/>
          <w:szCs w:val="18"/>
          <w:lang w:val="en-US" w:eastAsia="zh-CN"/>
        </w:rPr>
      </w:pPr>
      <w:r>
        <w:rPr>
          <w:rFonts w:hint="eastAsia" w:ascii="仿宋" w:hAnsi="仿宋" w:eastAsia="仿宋" w:cs="Times New Roman"/>
          <w:sz w:val="18"/>
          <w:szCs w:val="18"/>
          <w:lang w:val="en-US" w:eastAsia="zh-CN"/>
        </w:rPr>
        <w:t>8、大连农商银行联络方式：大连农商银行全国统一客户服务与消费投诉热线（96689） 大连农商银行官网：</w:t>
      </w:r>
      <w:r>
        <w:rPr>
          <w:rFonts w:hint="eastAsia" w:ascii="仿宋" w:hAnsi="仿宋" w:eastAsia="仿宋" w:cs="Times New Roman"/>
          <w:sz w:val="18"/>
          <w:szCs w:val="18"/>
          <w:lang w:val="en-US" w:eastAsia="zh-CN"/>
        </w:rPr>
        <w:fldChar w:fldCharType="begin"/>
      </w:r>
      <w:r>
        <w:rPr>
          <w:rFonts w:hint="eastAsia" w:ascii="仿宋" w:hAnsi="仿宋" w:eastAsia="仿宋" w:cs="Times New Roman"/>
          <w:sz w:val="18"/>
          <w:szCs w:val="18"/>
          <w:lang w:val="en-US" w:eastAsia="zh-CN"/>
        </w:rPr>
        <w:instrText xml:space="preserve"> HYPERLINK "http://www.dlrcb.cn" </w:instrText>
      </w:r>
      <w:r>
        <w:rPr>
          <w:rFonts w:hint="eastAsia" w:ascii="仿宋" w:hAnsi="仿宋" w:eastAsia="仿宋" w:cs="Times New Roman"/>
          <w:sz w:val="18"/>
          <w:szCs w:val="18"/>
          <w:lang w:val="en-US" w:eastAsia="zh-CN"/>
        </w:rPr>
        <w:fldChar w:fldCharType="separate"/>
      </w:r>
      <w:r>
        <w:rPr>
          <w:rFonts w:hint="eastAsia" w:ascii="仿宋" w:hAnsi="仿宋" w:eastAsia="仿宋" w:cs="Times New Roman"/>
          <w:sz w:val="18"/>
          <w:szCs w:val="18"/>
          <w:lang w:val="en-US" w:eastAsia="zh-CN"/>
        </w:rPr>
        <w:t>www.dlrcb.cn</w:t>
      </w:r>
      <w:r>
        <w:rPr>
          <w:rFonts w:hint="eastAsia" w:ascii="仿宋" w:hAnsi="仿宋" w:eastAsia="仿宋" w:cs="Times New Roman"/>
          <w:sz w:val="18"/>
          <w:szCs w:val="18"/>
          <w:lang w:val="en-US" w:eastAsia="zh-CN"/>
        </w:rPr>
        <w:fldChar w:fldCharType="end"/>
      </w:r>
    </w:p>
    <w:p w14:paraId="075A2772">
      <w:pPr>
        <w:numPr>
          <w:ilvl w:val="0"/>
          <w:numId w:val="0"/>
        </w:numPr>
        <w:bidi w:val="0"/>
        <w:jc w:val="left"/>
        <w:rPr>
          <w:rFonts w:hint="default" w:ascii="仿宋_GB2312" w:hAnsi="宋体" w:eastAsia="仿宋_GB2312" w:cs="仿宋_GB2312"/>
          <w:b w:val="0"/>
          <w:bCs w:val="0"/>
          <w:color w:val="000000"/>
          <w:sz w:val="20"/>
          <w:szCs w:val="20"/>
          <w:lang w:val="en-US" w:eastAsia="zh-CN"/>
        </w:rPr>
      </w:pPr>
    </w:p>
    <w:p w14:paraId="5641D84C">
      <w:pPr>
        <w:numPr>
          <w:ilvl w:val="0"/>
          <w:numId w:val="0"/>
        </w:numPr>
        <w:bidi w:val="0"/>
        <w:jc w:val="left"/>
        <w:rPr>
          <w:rFonts w:hint="default" w:ascii="仿宋_GB2312" w:hAnsi="宋体" w:eastAsia="仿宋_GB2312" w:cs="仿宋_GB2312"/>
          <w:b w:val="0"/>
          <w:bCs w:val="0"/>
          <w:color w:val="000000"/>
          <w:sz w:val="20"/>
          <w:szCs w:val="20"/>
          <w:lang w:val="en-US" w:eastAsia="zh-CN"/>
        </w:rPr>
      </w:pPr>
    </w:p>
    <w:p w14:paraId="68EEEC62">
      <w:pPr>
        <w:numPr>
          <w:ilvl w:val="0"/>
          <w:numId w:val="0"/>
        </w:numPr>
        <w:bidi w:val="0"/>
        <w:jc w:val="left"/>
        <w:rPr>
          <w:rFonts w:hint="default" w:ascii="仿宋_GB2312" w:hAnsi="宋体" w:eastAsia="仿宋_GB2312" w:cs="仿宋_GB2312"/>
          <w:b w:val="0"/>
          <w:bCs w:val="0"/>
          <w:color w:val="000000"/>
          <w:sz w:val="20"/>
          <w:szCs w:val="20"/>
          <w:lang w:val="en-US" w:eastAsia="zh-CN"/>
        </w:rPr>
      </w:pPr>
    </w:p>
    <w:p w14:paraId="06DEEF1E">
      <w:pPr>
        <w:numPr>
          <w:ilvl w:val="0"/>
          <w:numId w:val="0"/>
        </w:numPr>
        <w:bidi w:val="0"/>
        <w:jc w:val="left"/>
        <w:rPr>
          <w:rFonts w:hint="default" w:ascii="仿宋_GB2312" w:hAnsi="宋体" w:eastAsia="仿宋_GB2312" w:cs="仿宋_GB2312"/>
          <w:b w:val="0"/>
          <w:bCs w:val="0"/>
          <w:color w:val="000000"/>
          <w:sz w:val="20"/>
          <w:szCs w:val="20"/>
          <w:lang w:val="en-US" w:eastAsia="zh-CN"/>
        </w:rPr>
      </w:pPr>
    </w:p>
    <w:p w14:paraId="1923DB80">
      <w:pPr>
        <w:numPr>
          <w:ilvl w:val="0"/>
          <w:numId w:val="0"/>
        </w:numPr>
        <w:bidi w:val="0"/>
        <w:jc w:val="left"/>
        <w:rPr>
          <w:rFonts w:hint="default" w:ascii="仿宋_GB2312" w:hAnsi="宋体" w:eastAsia="仿宋_GB2312" w:cs="仿宋_GB2312"/>
          <w:b w:val="0"/>
          <w:bCs w:val="0"/>
          <w:color w:val="000000"/>
          <w:sz w:val="20"/>
          <w:szCs w:val="20"/>
          <w:lang w:val="en-US" w:eastAsia="zh-CN"/>
        </w:rPr>
      </w:pPr>
    </w:p>
    <w:p w14:paraId="655FF5F7">
      <w:pPr>
        <w:numPr>
          <w:ilvl w:val="0"/>
          <w:numId w:val="0"/>
        </w:numPr>
        <w:bidi w:val="0"/>
        <w:jc w:val="left"/>
        <w:rPr>
          <w:rFonts w:hint="default" w:ascii="仿宋_GB2312" w:hAnsi="宋体" w:eastAsia="仿宋_GB2312" w:cs="仿宋_GB2312"/>
          <w:b w:val="0"/>
          <w:bCs w:val="0"/>
          <w:color w:val="000000"/>
          <w:sz w:val="20"/>
          <w:szCs w:val="20"/>
          <w:lang w:val="en-US" w:eastAsia="zh-CN"/>
        </w:rPr>
      </w:pPr>
    </w:p>
    <w:p w14:paraId="48C0D5F7">
      <w:pPr>
        <w:numPr>
          <w:ilvl w:val="0"/>
          <w:numId w:val="0"/>
        </w:numPr>
        <w:bidi w:val="0"/>
        <w:jc w:val="left"/>
        <w:rPr>
          <w:rFonts w:hint="default" w:ascii="仿宋_GB2312" w:hAnsi="宋体" w:eastAsia="仿宋_GB2312" w:cs="仿宋_GB2312"/>
          <w:b w:val="0"/>
          <w:bCs w:val="0"/>
          <w:color w:val="000000"/>
          <w:sz w:val="20"/>
          <w:szCs w:val="20"/>
          <w:lang w:val="en-US" w:eastAsia="zh-CN"/>
        </w:rPr>
      </w:pPr>
    </w:p>
    <w:p w14:paraId="1C694376">
      <w:pPr>
        <w:numPr>
          <w:ilvl w:val="0"/>
          <w:numId w:val="0"/>
        </w:numPr>
        <w:bidi w:val="0"/>
        <w:jc w:val="left"/>
        <w:rPr>
          <w:rFonts w:hint="default" w:ascii="仿宋_GB2312" w:hAnsi="宋体" w:eastAsia="仿宋_GB2312" w:cs="仿宋_GB2312"/>
          <w:b w:val="0"/>
          <w:bCs w:val="0"/>
          <w:color w:val="000000"/>
          <w:sz w:val="20"/>
          <w:szCs w:val="20"/>
          <w:lang w:val="en-US" w:eastAsia="zh-CN"/>
        </w:rPr>
      </w:pPr>
    </w:p>
    <w:p w14:paraId="02EDAC1C">
      <w:pPr>
        <w:numPr>
          <w:ilvl w:val="0"/>
          <w:numId w:val="0"/>
        </w:numPr>
        <w:bidi w:val="0"/>
        <w:jc w:val="left"/>
        <w:rPr>
          <w:rFonts w:hint="default" w:ascii="仿宋_GB2312" w:hAnsi="宋体" w:eastAsia="仿宋_GB2312" w:cs="仿宋_GB2312"/>
          <w:b w:val="0"/>
          <w:bCs w:val="0"/>
          <w:color w:val="000000"/>
          <w:sz w:val="20"/>
          <w:szCs w:val="20"/>
          <w:lang w:val="en-US" w:eastAsia="zh-CN"/>
        </w:rPr>
      </w:pPr>
    </w:p>
    <w:p w14:paraId="5F9E503E">
      <w:pPr>
        <w:numPr>
          <w:ilvl w:val="0"/>
          <w:numId w:val="0"/>
        </w:numPr>
        <w:bidi w:val="0"/>
        <w:jc w:val="left"/>
        <w:rPr>
          <w:rFonts w:hint="default" w:ascii="仿宋_GB2312" w:hAnsi="宋体" w:eastAsia="仿宋_GB2312" w:cs="仿宋_GB2312"/>
          <w:b w:val="0"/>
          <w:bCs w:val="0"/>
          <w:color w:val="000000"/>
          <w:sz w:val="20"/>
          <w:szCs w:val="20"/>
          <w:lang w:val="en-US" w:eastAsia="zh-CN"/>
        </w:rPr>
      </w:pPr>
    </w:p>
    <w:p w14:paraId="6C0D5DE9">
      <w:pPr>
        <w:numPr>
          <w:ilvl w:val="0"/>
          <w:numId w:val="0"/>
        </w:numPr>
        <w:bidi w:val="0"/>
        <w:jc w:val="left"/>
        <w:rPr>
          <w:rFonts w:hint="default" w:ascii="仿宋_GB2312" w:hAnsi="宋体" w:eastAsia="仿宋_GB2312" w:cs="仿宋_GB2312"/>
          <w:b w:val="0"/>
          <w:bCs w:val="0"/>
          <w:color w:val="000000"/>
          <w:sz w:val="20"/>
          <w:szCs w:val="20"/>
          <w:lang w:val="en-US" w:eastAsia="zh-CN"/>
        </w:rPr>
      </w:pPr>
    </w:p>
    <w:p w14:paraId="619FA23A">
      <w:pPr>
        <w:numPr>
          <w:ilvl w:val="0"/>
          <w:numId w:val="0"/>
        </w:numPr>
        <w:bidi w:val="0"/>
        <w:jc w:val="left"/>
        <w:rPr>
          <w:rFonts w:hint="default" w:ascii="仿宋_GB2312" w:hAnsi="宋体" w:eastAsia="仿宋_GB2312" w:cs="仿宋_GB2312"/>
          <w:b w:val="0"/>
          <w:bCs w:val="0"/>
          <w:color w:val="000000"/>
          <w:sz w:val="20"/>
          <w:szCs w:val="20"/>
          <w:lang w:val="en-US" w:eastAsia="zh-CN"/>
        </w:rPr>
      </w:pPr>
    </w:p>
    <w:p w14:paraId="3460E8A1">
      <w:pPr>
        <w:numPr>
          <w:ilvl w:val="0"/>
          <w:numId w:val="0"/>
        </w:numPr>
        <w:bidi w:val="0"/>
        <w:jc w:val="left"/>
        <w:rPr>
          <w:rFonts w:hint="default" w:ascii="仿宋_GB2312" w:hAnsi="宋体" w:eastAsia="仿宋_GB2312" w:cs="仿宋_GB2312"/>
          <w:b w:val="0"/>
          <w:bCs w:val="0"/>
          <w:color w:val="000000"/>
          <w:sz w:val="20"/>
          <w:szCs w:val="20"/>
          <w:lang w:val="en-US" w:eastAsia="zh-CN"/>
        </w:rPr>
      </w:pPr>
    </w:p>
    <w:p w14:paraId="3E277AC6">
      <w:pPr>
        <w:numPr>
          <w:ilvl w:val="0"/>
          <w:numId w:val="0"/>
        </w:numPr>
        <w:bidi w:val="0"/>
        <w:jc w:val="left"/>
        <w:rPr>
          <w:rFonts w:hint="default" w:ascii="仿宋_GB2312" w:hAnsi="宋体" w:eastAsia="仿宋_GB2312" w:cs="仿宋_GB2312"/>
          <w:b w:val="0"/>
          <w:bCs w:val="0"/>
          <w:color w:val="000000"/>
          <w:sz w:val="20"/>
          <w:szCs w:val="20"/>
          <w:lang w:val="en-US" w:eastAsia="zh-CN"/>
        </w:rPr>
      </w:pPr>
    </w:p>
    <w:p w14:paraId="1E9FF506">
      <w:pPr>
        <w:numPr>
          <w:ilvl w:val="0"/>
          <w:numId w:val="0"/>
        </w:numPr>
        <w:bidi w:val="0"/>
        <w:jc w:val="left"/>
        <w:rPr>
          <w:rFonts w:hint="default" w:ascii="仿宋_GB2312" w:hAnsi="宋体" w:eastAsia="仿宋_GB2312" w:cs="仿宋_GB2312"/>
          <w:b w:val="0"/>
          <w:bCs w:val="0"/>
          <w:color w:val="000000"/>
          <w:sz w:val="20"/>
          <w:szCs w:val="20"/>
          <w:lang w:val="en-US" w:eastAsia="zh-CN"/>
        </w:rPr>
      </w:pPr>
    </w:p>
    <w:p w14:paraId="6BB7A913">
      <w:pPr>
        <w:jc w:val="center"/>
        <w:rPr>
          <w:rFonts w:ascii="黑体" w:hAnsi="黑体" w:eastAsia="黑体"/>
          <w:b/>
          <w:bCs/>
          <w:sz w:val="44"/>
          <w:szCs w:val="44"/>
        </w:rPr>
      </w:pPr>
    </w:p>
    <w:p w14:paraId="74872D9B">
      <w:pPr>
        <w:jc w:val="center"/>
        <w:rPr>
          <w:rFonts w:ascii="黑体" w:hAnsi="黑体" w:eastAsia="黑体"/>
          <w:b/>
          <w:bCs/>
          <w:sz w:val="44"/>
          <w:szCs w:val="44"/>
        </w:rPr>
      </w:pPr>
    </w:p>
    <w:p w14:paraId="65236223">
      <w:pPr>
        <w:jc w:val="center"/>
        <w:rPr>
          <w:rFonts w:ascii="黑体" w:hAnsi="黑体" w:eastAsia="黑体"/>
          <w:b/>
          <w:bCs/>
          <w:sz w:val="44"/>
          <w:szCs w:val="44"/>
        </w:rPr>
      </w:pPr>
    </w:p>
    <w:p w14:paraId="1F981757">
      <w:pPr>
        <w:jc w:val="center"/>
        <w:rPr>
          <w:rFonts w:hint="eastAsia" w:ascii="仿宋_GB2312" w:hAnsi="宋体" w:eastAsia="仿宋_GB2312" w:cs="仿宋_GB2312"/>
          <w:b/>
          <w:bCs/>
          <w:color w:val="000000"/>
          <w:sz w:val="31"/>
          <w:szCs w:val="31"/>
          <w:lang w:val="en-US" w:eastAsia="zh-CN"/>
        </w:rPr>
      </w:pPr>
    </w:p>
    <w:p w14:paraId="2908B63C">
      <w:pPr>
        <w:jc w:val="center"/>
        <w:rPr>
          <w:rFonts w:hint="eastAsia" w:ascii="仿宋_GB2312" w:hAnsi="宋体" w:eastAsia="仿宋_GB2312" w:cs="仿宋_GB2312"/>
          <w:b/>
          <w:bCs/>
          <w:color w:val="000000"/>
          <w:sz w:val="31"/>
          <w:szCs w:val="31"/>
          <w:lang w:val="en-US" w:eastAsia="zh-CN"/>
        </w:rPr>
      </w:pPr>
    </w:p>
    <w:p w14:paraId="422664D6">
      <w:pPr>
        <w:jc w:val="center"/>
        <w:rPr>
          <w:rFonts w:hint="eastAsia" w:ascii="黑体" w:hAnsi="黑体" w:eastAsia="黑体"/>
          <w:b/>
          <w:bCs/>
          <w:sz w:val="44"/>
          <w:szCs w:val="44"/>
        </w:rPr>
      </w:pPr>
      <w:r>
        <w:rPr>
          <w:rFonts w:hint="eastAsia" w:ascii="仿宋_GB2312" w:hAnsi="宋体" w:eastAsia="仿宋_GB2312" w:cs="仿宋_GB2312"/>
          <w:b/>
          <w:bCs/>
          <w:color w:val="000000"/>
          <w:sz w:val="31"/>
          <w:szCs w:val="31"/>
          <w:lang w:val="en-US" w:eastAsia="zh-CN"/>
        </w:rPr>
        <w:t>大连农商银行金浪花理财产品协议书</w:t>
      </w:r>
    </w:p>
    <w:p w14:paraId="544410FA">
      <w:pPr>
        <w:jc w:val="center"/>
        <w:rPr>
          <w:rFonts w:ascii="黑体" w:hAnsi="黑体" w:eastAsia="黑体"/>
          <w:b/>
          <w:bCs/>
          <w:sz w:val="44"/>
          <w:szCs w:val="44"/>
        </w:rPr>
      </w:pPr>
    </w:p>
    <w:p w14:paraId="55F72B93">
      <w:pPr>
        <w:ind w:firstLine="360" w:firstLineChars="200"/>
        <w:rPr>
          <w:rFonts w:ascii="宋体" w:hAnsi="宋体" w:eastAsia="宋体"/>
          <w:szCs w:val="21"/>
        </w:rPr>
      </w:pPr>
      <w:r>
        <w:rPr>
          <w:rFonts w:hint="eastAsia" w:ascii="仿宋" w:hAnsi="仿宋" w:eastAsia="仿宋" w:cs="Times New Roman"/>
          <w:sz w:val="18"/>
          <w:szCs w:val="18"/>
          <w:lang w:val="en-US" w:eastAsia="zh-CN"/>
        </w:rPr>
        <w:t>投资者（以下简称 “甲方”）与大连农村商业银行股份有限公司（以下简称 “乙方”）经平等友好协商，本着自愿、诚实、守信的原则，就甲方购买乙方发行管理的理财产品并接受乙方提供的理财产品相关的投资服务等事宜，达成如下协议（以下简称 “本协议”）：</w:t>
      </w:r>
    </w:p>
    <w:p w14:paraId="064F8B56">
      <w:pPr>
        <w:ind w:firstLine="361" w:firstLineChars="200"/>
        <w:rPr>
          <w:rFonts w:hint="eastAsia" w:ascii="仿宋" w:hAnsi="仿宋" w:eastAsia="仿宋" w:cs="Times New Roman"/>
          <w:b/>
          <w:bCs/>
          <w:sz w:val="18"/>
          <w:szCs w:val="18"/>
          <w:lang w:val="en-US" w:eastAsia="zh-CN"/>
        </w:rPr>
      </w:pPr>
      <w:r>
        <w:rPr>
          <w:rFonts w:hint="eastAsia" w:ascii="仿宋" w:hAnsi="仿宋" w:eastAsia="仿宋" w:cs="Times New Roman"/>
          <w:b/>
          <w:bCs/>
          <w:sz w:val="18"/>
          <w:szCs w:val="18"/>
          <w:lang w:val="en-US" w:eastAsia="zh-CN"/>
        </w:rPr>
        <w:t>第一条 重要提示</w:t>
      </w:r>
    </w:p>
    <w:p w14:paraId="34A1090E">
      <w:pPr>
        <w:ind w:firstLine="360" w:firstLineChars="200"/>
        <w:rPr>
          <w:rFonts w:hint="eastAsia" w:ascii="仿宋" w:hAnsi="仿宋" w:eastAsia="仿宋" w:cs="Times New Roman"/>
          <w:sz w:val="18"/>
          <w:szCs w:val="18"/>
          <w:lang w:val="en-US" w:eastAsia="zh-CN"/>
        </w:rPr>
      </w:pPr>
      <w:r>
        <w:rPr>
          <w:rFonts w:hint="eastAsia" w:ascii="仿宋" w:hAnsi="仿宋" w:eastAsia="仿宋" w:cs="Times New Roman"/>
          <w:sz w:val="18"/>
          <w:szCs w:val="18"/>
          <w:lang w:val="en-US" w:eastAsia="zh-CN"/>
        </w:rPr>
        <w:t>本理财产品与存款有明显区别。</w:t>
      </w:r>
      <w:r>
        <w:rPr>
          <w:rFonts w:hint="eastAsia" w:ascii="仿宋" w:hAnsi="仿宋" w:eastAsia="仿宋" w:cs="Times New Roman"/>
          <w:b/>
          <w:bCs/>
          <w:sz w:val="18"/>
          <w:szCs w:val="18"/>
          <w:lang w:val="en-US" w:eastAsia="zh-CN"/>
        </w:rPr>
        <w:t>理财非存款、产品有风险、投资须谨慎。</w:t>
      </w:r>
      <w:r>
        <w:rPr>
          <w:rFonts w:hint="eastAsia" w:ascii="仿宋" w:hAnsi="仿宋" w:eastAsia="仿宋" w:cs="Times New Roman"/>
          <w:sz w:val="18"/>
          <w:szCs w:val="18"/>
          <w:lang w:val="en-US" w:eastAsia="zh-CN"/>
        </w:rPr>
        <w:t>投资理财产品可能面临信用风险、市场风险、流动性风险等风险因素，具体由乙方在每款理财产品的《产品说明书》和《风险揭示书》中揭示。甲方应仔细阅读并充分理解拟认购理财产品对应的《产品说明书》和《风险揭示书》的详细条款及可能发生的风险。</w:t>
      </w:r>
    </w:p>
    <w:p w14:paraId="20E53B60">
      <w:pPr>
        <w:ind w:firstLine="360" w:firstLineChars="200"/>
        <w:rPr>
          <w:rFonts w:hint="eastAsia" w:ascii="仿宋" w:hAnsi="仿宋" w:eastAsia="仿宋" w:cs="Times New Roman"/>
          <w:sz w:val="18"/>
          <w:szCs w:val="18"/>
          <w:lang w:val="en-US" w:eastAsia="zh-CN"/>
        </w:rPr>
      </w:pPr>
      <w:r>
        <w:rPr>
          <w:rFonts w:hint="eastAsia" w:ascii="仿宋" w:hAnsi="仿宋" w:eastAsia="仿宋" w:cs="Times New Roman"/>
          <w:sz w:val="18"/>
          <w:szCs w:val="18"/>
          <w:lang w:val="en-US" w:eastAsia="zh-CN"/>
        </w:rPr>
        <w:t>本协议与《产品说明书》、《风险揭示书》、《客户权益须知》等理财产品销售文件共同构成一份完整且不可分割的理财合同，前述销售文件具有同等法律效力。本协议未提及及与《产品说明书》约定不一致的事项，以《产品说明书》为准。</w:t>
      </w:r>
    </w:p>
    <w:p w14:paraId="15238AD3">
      <w:pPr>
        <w:ind w:firstLine="361" w:firstLineChars="200"/>
        <w:rPr>
          <w:rFonts w:hint="eastAsia" w:ascii="仿宋" w:hAnsi="仿宋" w:eastAsia="仿宋" w:cs="Times New Roman"/>
          <w:b/>
          <w:bCs/>
          <w:sz w:val="18"/>
          <w:szCs w:val="18"/>
          <w:lang w:val="en-US" w:eastAsia="zh-CN"/>
        </w:rPr>
      </w:pPr>
      <w:r>
        <w:rPr>
          <w:rFonts w:hint="eastAsia" w:ascii="仿宋" w:hAnsi="仿宋" w:eastAsia="仿宋" w:cs="Times New Roman"/>
          <w:b/>
          <w:bCs/>
          <w:sz w:val="18"/>
          <w:szCs w:val="18"/>
          <w:lang w:val="en-US" w:eastAsia="zh-CN"/>
        </w:rPr>
        <w:t>第二条 产品释义</w:t>
      </w:r>
    </w:p>
    <w:p w14:paraId="0F9175EE">
      <w:pPr>
        <w:ind w:firstLine="360" w:firstLineChars="200"/>
        <w:rPr>
          <w:rFonts w:hint="eastAsia" w:ascii="仿宋" w:hAnsi="仿宋" w:eastAsia="仿宋" w:cs="Times New Roman"/>
          <w:sz w:val="18"/>
          <w:szCs w:val="18"/>
          <w:lang w:val="en-US" w:eastAsia="zh-CN"/>
        </w:rPr>
      </w:pPr>
      <w:r>
        <w:rPr>
          <w:rFonts w:hint="eastAsia" w:ascii="仿宋" w:hAnsi="仿宋" w:eastAsia="仿宋" w:cs="Times New Roman"/>
          <w:sz w:val="18"/>
          <w:szCs w:val="18"/>
          <w:lang w:val="en-US" w:eastAsia="zh-CN"/>
        </w:rPr>
        <w:t>本协议项下的 “金浪花理财” 产品，是指乙方接受甲方的理财申请，将其人民币理财资金按照约定的投资计划和方式进行投资和管理的理财产品。</w:t>
      </w:r>
    </w:p>
    <w:p w14:paraId="5A65E48E">
      <w:pPr>
        <w:ind w:firstLine="361" w:firstLineChars="200"/>
        <w:rPr>
          <w:rFonts w:hint="eastAsia" w:ascii="仿宋" w:hAnsi="仿宋" w:eastAsia="仿宋" w:cs="Times New Roman"/>
          <w:b/>
          <w:bCs/>
          <w:sz w:val="18"/>
          <w:szCs w:val="18"/>
          <w:lang w:val="en-US" w:eastAsia="zh-CN"/>
        </w:rPr>
      </w:pPr>
      <w:r>
        <w:rPr>
          <w:rFonts w:hint="eastAsia" w:ascii="仿宋" w:hAnsi="仿宋" w:eastAsia="仿宋" w:cs="Times New Roman"/>
          <w:b/>
          <w:bCs/>
          <w:sz w:val="18"/>
          <w:szCs w:val="18"/>
          <w:lang w:val="en-US" w:eastAsia="zh-CN"/>
        </w:rPr>
        <w:t>第三条 甲方声明</w:t>
      </w:r>
    </w:p>
    <w:p w14:paraId="11FE052A">
      <w:pPr>
        <w:ind w:firstLine="360" w:firstLineChars="200"/>
        <w:rPr>
          <w:rFonts w:ascii="宋体" w:hAnsi="宋体" w:eastAsia="宋体"/>
          <w:szCs w:val="21"/>
        </w:rPr>
      </w:pPr>
      <w:r>
        <w:rPr>
          <w:rFonts w:hint="eastAsia" w:ascii="仿宋" w:hAnsi="仿宋" w:eastAsia="仿宋" w:cs="Times New Roman"/>
          <w:sz w:val="18"/>
          <w:szCs w:val="18"/>
          <w:lang w:val="en-US" w:eastAsia="zh-CN"/>
        </w:rPr>
        <w:t>甲方购买本理财产品的行为即为对理财产品合同的承认和接受，并指定乙方为代理人代其进行理财资金的投资运作。甲方自取得依据理财产品合同发行的理财产品份额，即成为理财产品投资者和理财产品合同当事人。</w:t>
      </w:r>
    </w:p>
    <w:p w14:paraId="5197016D">
      <w:pPr>
        <w:ind w:firstLine="361" w:firstLineChars="200"/>
        <w:rPr>
          <w:rFonts w:hint="eastAsia" w:ascii="仿宋" w:hAnsi="仿宋" w:eastAsia="仿宋" w:cs="Times New Roman"/>
          <w:sz w:val="18"/>
          <w:szCs w:val="18"/>
          <w:lang w:val="en-US" w:eastAsia="zh-CN"/>
        </w:rPr>
      </w:pPr>
      <w:r>
        <w:rPr>
          <w:rFonts w:hint="eastAsia" w:ascii="仿宋" w:hAnsi="仿宋" w:eastAsia="仿宋" w:cs="Times New Roman"/>
          <w:b/>
          <w:bCs/>
          <w:sz w:val="18"/>
          <w:szCs w:val="18"/>
          <w:lang w:val="en-US" w:eastAsia="zh-CN"/>
        </w:rPr>
        <w:t>购买金额</w:t>
      </w:r>
      <w:r>
        <w:rPr>
          <w:rFonts w:hint="eastAsia" w:ascii="仿宋" w:hAnsi="仿宋" w:eastAsia="仿宋" w:cs="Times New Roman"/>
          <w:sz w:val="18"/>
          <w:szCs w:val="18"/>
          <w:lang w:val="en-US" w:eastAsia="zh-CN"/>
        </w:rPr>
        <w:t xml:space="preserve">（小写）：________元。 </w:t>
      </w:r>
    </w:p>
    <w:p w14:paraId="5918CD1C">
      <w:pPr>
        <w:ind w:firstLine="1080" w:firstLineChars="600"/>
        <w:rPr>
          <w:rFonts w:hint="eastAsia" w:ascii="仿宋" w:hAnsi="仿宋" w:eastAsia="仿宋" w:cs="Times New Roman"/>
          <w:sz w:val="18"/>
          <w:szCs w:val="18"/>
          <w:lang w:val="en-US" w:eastAsia="zh-CN"/>
        </w:rPr>
      </w:pPr>
      <w:r>
        <w:rPr>
          <w:rFonts w:hint="eastAsia" w:ascii="仿宋" w:hAnsi="仿宋" w:eastAsia="仿宋" w:cs="Times New Roman"/>
          <w:sz w:val="18"/>
          <w:szCs w:val="18"/>
          <w:lang w:val="en-US" w:eastAsia="zh-CN"/>
        </w:rPr>
        <w:t>（大写）：________________元整。</w:t>
      </w:r>
    </w:p>
    <w:p w14:paraId="2781957F">
      <w:pPr>
        <w:ind w:firstLine="360" w:firstLineChars="200"/>
        <w:rPr>
          <w:rFonts w:hint="eastAsia" w:ascii="仿宋" w:hAnsi="仿宋" w:eastAsia="仿宋" w:cs="Times New Roman"/>
          <w:sz w:val="18"/>
          <w:szCs w:val="18"/>
          <w:lang w:val="en-US" w:eastAsia="zh-CN"/>
        </w:rPr>
      </w:pPr>
      <w:r>
        <w:rPr>
          <w:rFonts w:hint="eastAsia" w:ascii="仿宋" w:hAnsi="仿宋" w:eastAsia="仿宋" w:cs="Times New Roman"/>
          <w:sz w:val="18"/>
          <w:szCs w:val="18"/>
          <w:lang w:val="en-US" w:eastAsia="zh-CN"/>
        </w:rPr>
        <w:t>1、甲方保证其为具有完全民事行为能力的自然人（以下统称 “个人投资者”）。如甲方在本协议项下投资的理财产品为《产品说明书》声明的面向合格投资者发行的理财产品，甲方承诺其符合监管要求的合格投资者条件。</w:t>
      </w:r>
    </w:p>
    <w:p w14:paraId="3150F950">
      <w:pPr>
        <w:ind w:firstLine="360" w:firstLineChars="200"/>
        <w:rPr>
          <w:rFonts w:hint="eastAsia" w:ascii="仿宋" w:hAnsi="仿宋" w:eastAsia="仿宋" w:cs="Times New Roman"/>
          <w:sz w:val="18"/>
          <w:szCs w:val="18"/>
          <w:lang w:val="en-US" w:eastAsia="zh-CN"/>
        </w:rPr>
      </w:pPr>
      <w:r>
        <w:rPr>
          <w:rFonts w:hint="eastAsia" w:ascii="仿宋" w:hAnsi="仿宋" w:eastAsia="仿宋" w:cs="Times New Roman"/>
          <w:sz w:val="18"/>
          <w:szCs w:val="18"/>
          <w:lang w:val="en-US" w:eastAsia="zh-CN"/>
        </w:rPr>
        <w:t>2、甲方保证签署和履行本协议系基于甲方的真实意愿，且不会违反对甲方有约束力的任何协议、合同或其他法律文件。甲方就签订和履行本协议已经取得所需的一切有关批准、许可、备案或者登记，甲方具有完全适当的资格与能力签订及履行本协议以及以其为一方当事人的任何有关理财产品销售文件。</w:t>
      </w:r>
    </w:p>
    <w:p w14:paraId="0A79332E">
      <w:pPr>
        <w:ind w:firstLine="360" w:firstLineChars="200"/>
        <w:rPr>
          <w:rFonts w:hint="eastAsia" w:ascii="仿宋" w:hAnsi="仿宋" w:eastAsia="仿宋" w:cs="Times New Roman"/>
          <w:sz w:val="18"/>
          <w:szCs w:val="18"/>
          <w:lang w:val="en-US" w:eastAsia="zh-CN"/>
        </w:rPr>
      </w:pPr>
      <w:r>
        <w:rPr>
          <w:rFonts w:hint="eastAsia" w:ascii="仿宋" w:hAnsi="仿宋" w:eastAsia="仿宋" w:cs="Times New Roman"/>
          <w:sz w:val="18"/>
          <w:szCs w:val="18"/>
          <w:lang w:val="en-US" w:eastAsia="zh-CN"/>
        </w:rPr>
        <w:t>3、甲方接受并签署《产品说明书》、《风险揭示书》、《理财产品协议书》、《客户权益须知》销售文件项下理财产品的投资管理等行为由乙方负责实施，完全知晓产品可能出现的各种风险，愿意并能够承担风险。乙方向甲方提供的市场分析和测算仅供参考，甲方据此做出的任何决策均出于甲方自身的判断，并自愿承担所购买（或赎回、撤销等其他行为）理财产品所产生的相关风险和全部后果，乙方不承担任何责任。</w:t>
      </w:r>
    </w:p>
    <w:p w14:paraId="66AD1944">
      <w:pPr>
        <w:ind w:firstLine="360" w:firstLineChars="200"/>
        <w:rPr>
          <w:rFonts w:hint="eastAsia" w:ascii="仿宋" w:hAnsi="仿宋" w:eastAsia="仿宋" w:cs="Times New Roman"/>
          <w:sz w:val="18"/>
          <w:szCs w:val="18"/>
          <w:lang w:val="en-US" w:eastAsia="zh-CN"/>
        </w:rPr>
      </w:pPr>
      <w:r>
        <w:rPr>
          <w:rFonts w:hint="eastAsia" w:ascii="仿宋" w:hAnsi="仿宋" w:eastAsia="仿宋" w:cs="Times New Roman"/>
          <w:sz w:val="18"/>
          <w:szCs w:val="18"/>
          <w:lang w:val="en-US" w:eastAsia="zh-CN"/>
        </w:rPr>
        <w:t>4、甲方购买理财产品前，需在乙方销售渠道进行风险承受能力评估。超过一年未进行风险承受能力评估或发生可能影响自身风险承受能力情况的投资者，再次购买理财产品前，应当在乙方销售渠道重新完成风险承受能力评估。</w:t>
      </w:r>
    </w:p>
    <w:p w14:paraId="19AF3054">
      <w:pPr>
        <w:ind w:firstLine="360" w:firstLineChars="200"/>
        <w:rPr>
          <w:rFonts w:ascii="宋体" w:hAnsi="宋体" w:eastAsia="宋体"/>
          <w:szCs w:val="21"/>
        </w:rPr>
      </w:pPr>
      <w:r>
        <w:rPr>
          <w:rFonts w:hint="eastAsia" w:ascii="仿宋" w:hAnsi="仿宋" w:eastAsia="仿宋" w:cs="Times New Roman"/>
          <w:sz w:val="18"/>
          <w:szCs w:val="18"/>
          <w:lang w:val="en-US" w:eastAsia="zh-CN"/>
        </w:rPr>
        <w:t>5、甲方购买理财产品的资金为合法自有资金或合法募集资金，不存在使用贷款、发行债券等筹集的非自有资金投资理财产品的情形。甲方承诺投资理财产品使用的资金来源合法合规，并且系为合法之目的投资本理财产品，而非为洗钱等违法犯罪之目的。甲方将配合乙方开展反洗钱、反恐怖融资及非居民金融账户涉税信息尽职调查等相关法律、法规及监管规定要求的工作，及时、真实、准确、完整地提供身份信息及资金来源信息并授权乙方对上述信息进行收集、存储、使用、加工、传输、提供等。</w:t>
      </w:r>
    </w:p>
    <w:p w14:paraId="70DDCC32">
      <w:pPr>
        <w:ind w:firstLine="361" w:firstLineChars="200"/>
        <w:rPr>
          <w:rFonts w:ascii="宋体" w:hAnsi="宋体" w:eastAsia="宋体"/>
          <w:b/>
          <w:bCs/>
          <w:szCs w:val="21"/>
        </w:rPr>
      </w:pPr>
      <w:r>
        <w:rPr>
          <w:rFonts w:hint="eastAsia" w:ascii="仿宋" w:hAnsi="仿宋" w:eastAsia="仿宋" w:cs="Times New Roman"/>
          <w:b/>
          <w:bCs/>
          <w:sz w:val="18"/>
          <w:szCs w:val="18"/>
          <w:lang w:val="en-US" w:eastAsia="zh-CN"/>
        </w:rPr>
        <w:t>第四条 双方的权利和义务</w:t>
      </w:r>
    </w:p>
    <w:p w14:paraId="07EF9786">
      <w:pPr>
        <w:ind w:firstLine="361" w:firstLineChars="200"/>
        <w:rPr>
          <w:rFonts w:hint="eastAsia" w:ascii="仿宋" w:hAnsi="仿宋" w:eastAsia="仿宋" w:cs="Times New Roman"/>
          <w:b/>
          <w:bCs/>
          <w:sz w:val="18"/>
          <w:szCs w:val="18"/>
          <w:lang w:val="en-US" w:eastAsia="zh-CN"/>
        </w:rPr>
      </w:pPr>
      <w:r>
        <w:rPr>
          <w:rFonts w:hint="eastAsia" w:ascii="仿宋" w:hAnsi="仿宋" w:eastAsia="仿宋" w:cs="Times New Roman"/>
          <w:b/>
          <w:bCs/>
          <w:sz w:val="18"/>
          <w:szCs w:val="18"/>
          <w:lang w:val="en-US" w:eastAsia="zh-CN"/>
        </w:rPr>
        <w:t>（一）甲方权利与义务</w:t>
      </w:r>
    </w:p>
    <w:p w14:paraId="0D949ED0">
      <w:pPr>
        <w:ind w:firstLine="360" w:firstLineChars="200"/>
        <w:rPr>
          <w:rFonts w:hint="eastAsia" w:ascii="仿宋" w:hAnsi="仿宋" w:eastAsia="仿宋" w:cs="Times New Roman"/>
          <w:sz w:val="18"/>
          <w:szCs w:val="18"/>
          <w:lang w:val="en-US" w:eastAsia="zh-CN"/>
        </w:rPr>
      </w:pPr>
      <w:r>
        <w:rPr>
          <w:rFonts w:hint="eastAsia" w:ascii="仿宋" w:hAnsi="仿宋" w:eastAsia="仿宋" w:cs="Times New Roman"/>
          <w:sz w:val="18"/>
          <w:szCs w:val="18"/>
          <w:lang w:val="en-US" w:eastAsia="zh-CN"/>
        </w:rPr>
        <w:t>1、甲方有权依照《产品说明书》等理财产品销售文件的约定获得投资收益，在约定的投资期内，投资本金不另计存款利息。</w:t>
      </w:r>
    </w:p>
    <w:p w14:paraId="199D4EB5">
      <w:pPr>
        <w:ind w:firstLine="360" w:firstLineChars="200"/>
        <w:rPr>
          <w:rFonts w:hint="eastAsia" w:ascii="仿宋" w:hAnsi="仿宋" w:eastAsia="仿宋" w:cs="Times New Roman"/>
          <w:sz w:val="18"/>
          <w:szCs w:val="18"/>
          <w:lang w:val="en-US" w:eastAsia="zh-CN"/>
        </w:rPr>
      </w:pPr>
      <w:r>
        <w:rPr>
          <w:rFonts w:hint="eastAsia" w:ascii="仿宋" w:hAnsi="仿宋" w:eastAsia="仿宋" w:cs="Times New Roman"/>
          <w:sz w:val="18"/>
          <w:szCs w:val="18"/>
          <w:lang w:val="en-US" w:eastAsia="zh-CN"/>
        </w:rPr>
        <w:t>2、甲方承诺所提供的所有资料真实、完整、合法、有效，如有变更，甲方应及时到其购买本产品的乙方销售机构办理变更手续；若甲方未及时办理相关变更手续，由此导致的一切后果由甲方自行承担，乙方对此不承担任何责任。</w:t>
      </w:r>
    </w:p>
    <w:p w14:paraId="42E1319F">
      <w:pPr>
        <w:ind w:firstLine="360" w:firstLineChars="200"/>
        <w:rPr>
          <w:rFonts w:hint="eastAsia" w:ascii="仿宋" w:hAnsi="仿宋" w:eastAsia="仿宋" w:cs="Times New Roman"/>
          <w:sz w:val="18"/>
          <w:szCs w:val="18"/>
          <w:lang w:val="en-US" w:eastAsia="zh-CN"/>
        </w:rPr>
      </w:pPr>
      <w:r>
        <w:rPr>
          <w:rFonts w:hint="eastAsia" w:ascii="仿宋" w:hAnsi="仿宋" w:eastAsia="仿宋" w:cs="Times New Roman"/>
          <w:sz w:val="18"/>
          <w:szCs w:val="18"/>
          <w:lang w:val="en-US" w:eastAsia="zh-CN"/>
        </w:rPr>
        <w:t>3、因甲方指定账户冻结、挂失、换卡、销户、长期不动户等原因造成账户变更或异常，甲方应及时到乙方办理变更手续。如因甲方未及时办理变更手续而造成乙方无法向甲方进行正常收益分配和资金清算分配的，由此导致甲方损失的由甲方自行承担，乙方不承担责任。</w:t>
      </w:r>
    </w:p>
    <w:p w14:paraId="54397F9F">
      <w:pPr>
        <w:ind w:firstLine="360" w:firstLineChars="200"/>
        <w:rPr>
          <w:rFonts w:hint="eastAsia" w:ascii="仿宋" w:hAnsi="仿宋" w:eastAsia="仿宋" w:cs="Times New Roman"/>
          <w:sz w:val="18"/>
          <w:szCs w:val="18"/>
          <w:lang w:val="en-US" w:eastAsia="zh-CN"/>
        </w:rPr>
      </w:pPr>
      <w:r>
        <w:rPr>
          <w:rFonts w:hint="eastAsia" w:ascii="仿宋" w:hAnsi="仿宋" w:eastAsia="仿宋" w:cs="Times New Roman"/>
          <w:sz w:val="18"/>
          <w:szCs w:val="18"/>
          <w:lang w:val="en-US" w:eastAsia="zh-CN"/>
        </w:rPr>
        <w:t>4、甲方对本协议及其条款负有保密义务，未经乙方书面许可，甲方不得向任何组织、个人提供或泄露与乙方有关的业务资料及信息，法律、法规另有规定的除外。</w:t>
      </w:r>
    </w:p>
    <w:p w14:paraId="3CE1CEF4">
      <w:pPr>
        <w:ind w:firstLine="360" w:firstLineChars="200"/>
        <w:rPr>
          <w:rFonts w:hint="eastAsia" w:ascii="仿宋" w:hAnsi="仿宋" w:eastAsia="仿宋" w:cs="Times New Roman"/>
          <w:sz w:val="18"/>
          <w:szCs w:val="18"/>
          <w:lang w:val="en-US" w:eastAsia="zh-CN"/>
        </w:rPr>
      </w:pPr>
      <w:r>
        <w:rPr>
          <w:rFonts w:hint="eastAsia" w:ascii="仿宋" w:hAnsi="仿宋" w:eastAsia="仿宋" w:cs="Times New Roman"/>
          <w:sz w:val="18"/>
          <w:szCs w:val="18"/>
          <w:lang w:val="en-US" w:eastAsia="zh-CN"/>
        </w:rPr>
        <w:t>5、甲方签署本协议，即同意授权乙方从甲方指定账户冻结或划转等于甲方在本协议项下提交认购或申购的交易金额的资金，乙方在冻结或划转时均无须再通知甲方。在产品认（申）购期内，如因甲方原因导致投资本金不能从甲方指定账户足额划转导致甲方对相关理财产品的购买不成功的，乙方不承担责任。</w:t>
      </w:r>
    </w:p>
    <w:p w14:paraId="3DCD3876">
      <w:pPr>
        <w:ind w:firstLine="360" w:firstLineChars="200"/>
        <w:rPr>
          <w:rFonts w:hint="eastAsia" w:ascii="仿宋" w:hAnsi="仿宋" w:eastAsia="仿宋" w:cs="Times New Roman"/>
          <w:sz w:val="18"/>
          <w:szCs w:val="18"/>
          <w:lang w:val="en-US" w:eastAsia="zh-CN"/>
        </w:rPr>
      </w:pPr>
      <w:r>
        <w:rPr>
          <w:rFonts w:hint="eastAsia" w:ascii="仿宋" w:hAnsi="仿宋" w:eastAsia="仿宋" w:cs="Times New Roman"/>
          <w:sz w:val="18"/>
          <w:szCs w:val="18"/>
          <w:lang w:val="en-US" w:eastAsia="zh-CN"/>
        </w:rPr>
        <w:t>6、甲方保证熟悉理财产品类型特征及不同销售渠道的相关规定，对于甲方通过乙方的网上银行、手机银行等销售渠道方式购买的理财产品（不受限于本产品），甲方确认其在乙方渠道系统点击确认的理财产品销售文件的合法有效性，与纸质签署具有同等效力，并确认相关记录构成对甲方操作行为（包括但不限于购买、赎回、撤销等业务）的证据，并且在双方发生争议时可以作为合法有效的证据使用。</w:t>
      </w:r>
    </w:p>
    <w:p w14:paraId="04FBEE32">
      <w:pPr>
        <w:ind w:firstLine="360" w:firstLineChars="200"/>
        <w:rPr>
          <w:rFonts w:hint="eastAsia" w:ascii="仿宋" w:hAnsi="仿宋" w:eastAsia="仿宋" w:cs="Times New Roman"/>
          <w:sz w:val="18"/>
          <w:szCs w:val="18"/>
          <w:lang w:val="en-US" w:eastAsia="zh-CN"/>
        </w:rPr>
      </w:pPr>
      <w:r>
        <w:rPr>
          <w:rFonts w:hint="eastAsia" w:ascii="仿宋" w:hAnsi="仿宋" w:eastAsia="仿宋" w:cs="Times New Roman"/>
          <w:sz w:val="18"/>
          <w:szCs w:val="18"/>
          <w:lang w:val="en-US" w:eastAsia="zh-CN"/>
        </w:rPr>
        <w:t>7、甲方认可乙方按《产品说明书》中约定的方式披露理财产品相关信息，包括但不限于理财产品销售文件修改及补充、发行公告、到期公告、净值披露、定期报告、临时信息披露等。</w:t>
      </w:r>
    </w:p>
    <w:p w14:paraId="4FEDBA25">
      <w:pPr>
        <w:ind w:firstLine="360" w:firstLineChars="200"/>
        <w:rPr>
          <w:rFonts w:hint="eastAsia" w:ascii="仿宋" w:hAnsi="仿宋" w:eastAsia="仿宋" w:cs="Times New Roman"/>
          <w:sz w:val="18"/>
          <w:szCs w:val="18"/>
          <w:lang w:val="en-US" w:eastAsia="zh-CN"/>
        </w:rPr>
      </w:pPr>
      <w:r>
        <w:rPr>
          <w:rFonts w:hint="eastAsia" w:ascii="仿宋" w:hAnsi="仿宋" w:eastAsia="仿宋" w:cs="Times New Roman"/>
          <w:sz w:val="18"/>
          <w:szCs w:val="18"/>
          <w:lang w:val="en-US" w:eastAsia="zh-CN"/>
        </w:rPr>
        <w:t>8、如甲方投资的理财产品为私募理财产品，则募集期最后一日为产品冷静期，冷静期具体设置规则以《产品说明书》为准。在冷静期内，如甲方改变投资决定，应立即撤销认（申）购的申请，乙方应当遵从甲方意愿，解除已签订的理财产品销售文件，并及时退还甲方的全部投资款项。</w:t>
      </w:r>
    </w:p>
    <w:p w14:paraId="6E0B104E">
      <w:pPr>
        <w:ind w:firstLine="360" w:firstLineChars="200"/>
        <w:rPr>
          <w:rFonts w:hint="eastAsia" w:ascii="仿宋" w:hAnsi="仿宋" w:eastAsia="仿宋" w:cs="Times New Roman"/>
          <w:sz w:val="18"/>
          <w:szCs w:val="18"/>
          <w:lang w:val="en-US" w:eastAsia="zh-CN"/>
        </w:rPr>
      </w:pPr>
      <w:r>
        <w:rPr>
          <w:rFonts w:hint="eastAsia" w:ascii="仿宋" w:hAnsi="仿宋" w:eastAsia="仿宋" w:cs="Times New Roman"/>
          <w:sz w:val="18"/>
          <w:szCs w:val="18"/>
          <w:lang w:val="en-US" w:eastAsia="zh-CN"/>
        </w:rPr>
        <w:t>9、甲方承诺在产品存续期内，除非按照《产品说明书》约定行使终止理财产品，否则不得要求乙方在产品到期日或开放日前退还已扣划款项或以任何形式清算其持有的理财产品份额，且不得将甲方指定账户销户。</w:t>
      </w:r>
    </w:p>
    <w:p w14:paraId="397D6BA2">
      <w:pPr>
        <w:ind w:firstLine="360" w:firstLineChars="200"/>
        <w:rPr>
          <w:rFonts w:hint="eastAsia" w:ascii="仿宋" w:hAnsi="仿宋" w:eastAsia="仿宋" w:cs="Times New Roman"/>
          <w:sz w:val="18"/>
          <w:szCs w:val="18"/>
          <w:lang w:val="en-US" w:eastAsia="zh-CN"/>
        </w:rPr>
      </w:pPr>
      <w:r>
        <w:rPr>
          <w:rFonts w:hint="eastAsia" w:ascii="仿宋" w:hAnsi="仿宋" w:eastAsia="仿宋" w:cs="Times New Roman"/>
          <w:sz w:val="18"/>
          <w:szCs w:val="18"/>
          <w:lang w:val="en-US" w:eastAsia="zh-CN"/>
        </w:rPr>
        <w:t>10、未经乙方同意，甲方不得以本协议项下理财产品的权益（包括单独和整体）为甲方或任何第三人的债务设定担保或其他权益。未经乙方同意，甲方不得向任何第三人转让、赠与与本协议项下理财产品的权益（包括单独和整体）。</w:t>
      </w:r>
    </w:p>
    <w:p w14:paraId="1B9703E4">
      <w:pPr>
        <w:ind w:firstLine="360" w:firstLineChars="200"/>
        <w:rPr>
          <w:rFonts w:hint="eastAsia" w:ascii="仿宋" w:hAnsi="仿宋" w:eastAsia="仿宋" w:cs="Times New Roman"/>
          <w:sz w:val="18"/>
          <w:szCs w:val="18"/>
          <w:lang w:val="en-US" w:eastAsia="zh-CN"/>
        </w:rPr>
      </w:pPr>
      <w:r>
        <w:rPr>
          <w:rFonts w:hint="eastAsia" w:ascii="仿宋" w:hAnsi="仿宋" w:eastAsia="仿宋" w:cs="Times New Roman"/>
          <w:sz w:val="18"/>
          <w:szCs w:val="18"/>
          <w:lang w:val="en-US" w:eastAsia="zh-CN"/>
        </w:rPr>
        <w:t>11、如因甲方原因，导致乙方对其他第三方承担赔偿责任的，甲方应承担相应的赔偿责任。</w:t>
      </w:r>
    </w:p>
    <w:p w14:paraId="0B7CF3BC">
      <w:pPr>
        <w:ind w:firstLine="360" w:firstLineChars="200"/>
        <w:rPr>
          <w:rFonts w:hint="eastAsia" w:ascii="仿宋" w:hAnsi="仿宋" w:eastAsia="仿宋" w:cs="Times New Roman"/>
          <w:sz w:val="18"/>
          <w:szCs w:val="18"/>
          <w:lang w:val="en-US" w:eastAsia="zh-CN"/>
        </w:rPr>
      </w:pPr>
      <w:r>
        <w:rPr>
          <w:rFonts w:hint="eastAsia" w:ascii="仿宋" w:hAnsi="仿宋" w:eastAsia="仿宋" w:cs="Times New Roman"/>
          <w:sz w:val="18"/>
          <w:szCs w:val="18"/>
          <w:lang w:val="en-US" w:eastAsia="zh-CN"/>
        </w:rPr>
        <w:t>12、法律、法规、监管规定和其他在本产品所对应理财产品销售文件中约定的甲方的权利与义务。</w:t>
      </w:r>
    </w:p>
    <w:p w14:paraId="539F25B9">
      <w:pPr>
        <w:ind w:firstLine="361" w:firstLineChars="200"/>
        <w:rPr>
          <w:rFonts w:ascii="宋体" w:hAnsi="宋体" w:eastAsia="宋体"/>
          <w:b/>
          <w:bCs/>
          <w:szCs w:val="21"/>
        </w:rPr>
      </w:pPr>
      <w:r>
        <w:rPr>
          <w:rFonts w:hint="eastAsia" w:ascii="仿宋" w:hAnsi="仿宋" w:eastAsia="仿宋" w:cs="Times New Roman"/>
          <w:b/>
          <w:bCs/>
          <w:sz w:val="18"/>
          <w:szCs w:val="18"/>
          <w:lang w:val="en-US" w:eastAsia="zh-CN"/>
        </w:rPr>
        <w:t>（二）乙方权利与义务</w:t>
      </w:r>
    </w:p>
    <w:p w14:paraId="1B770D6A">
      <w:pPr>
        <w:ind w:firstLine="360" w:firstLineChars="200"/>
        <w:rPr>
          <w:rFonts w:hint="eastAsia" w:ascii="仿宋" w:hAnsi="仿宋" w:eastAsia="仿宋" w:cs="Times New Roman"/>
          <w:sz w:val="18"/>
          <w:szCs w:val="18"/>
          <w:lang w:val="en-US" w:eastAsia="zh-CN"/>
        </w:rPr>
      </w:pPr>
      <w:r>
        <w:rPr>
          <w:rFonts w:hint="eastAsia" w:ascii="仿宋" w:hAnsi="仿宋" w:eastAsia="仿宋" w:cs="Times New Roman"/>
          <w:sz w:val="18"/>
          <w:szCs w:val="18"/>
          <w:lang w:val="en-US" w:eastAsia="zh-CN"/>
        </w:rPr>
        <w:t>1、乙方有权依据法律、法规、监管规定和理财产品销售文件约定，根据管理、运用和处理理财产品财产的需要，独立对理财产品资金进行投资管理，乙方也可选任或委托经相关监管机构批准或认可的其他理财投资合作机构对产品资金进行投资管理。</w:t>
      </w:r>
    </w:p>
    <w:p w14:paraId="414A61DE">
      <w:pPr>
        <w:ind w:firstLine="360" w:firstLineChars="200"/>
        <w:rPr>
          <w:rFonts w:hint="eastAsia" w:ascii="仿宋" w:hAnsi="仿宋" w:eastAsia="仿宋" w:cs="Times New Roman"/>
          <w:sz w:val="18"/>
          <w:szCs w:val="18"/>
          <w:lang w:val="en-US" w:eastAsia="zh-CN"/>
        </w:rPr>
      </w:pPr>
      <w:r>
        <w:rPr>
          <w:rFonts w:hint="eastAsia" w:ascii="仿宋" w:hAnsi="仿宋" w:eastAsia="仿宋" w:cs="Times New Roman"/>
          <w:sz w:val="18"/>
          <w:szCs w:val="18"/>
          <w:lang w:val="en-US" w:eastAsia="zh-CN"/>
        </w:rPr>
        <w:t>2、乙方有权以产品管理人名义，全权负责本理财产品资金的运用和理财产品资产的管理，代表投资者行使诉讼权利或者实施其他法律行为，例如代表理财产品及其全部投资人参加与理财产品所投资资产相关的所有会议，并对相关事项进行表决；代表投资者利益，按照法律、法规和监管规定对理财产品投资产生的风险资产进行多种方式的处置，包括但不限于转让、重组、债转股、资产证券化、委外催收、抵债资产收取与处置、破产重整等，由此产生的费用和法律后果由理财产品承担。在理财产品投资过程中发生任何争议，乙方有权以产品管理人的名义代表理财产品进行维权，行使包括但不限于提起诉讼 / 仲裁、申请保全 / 执行等权利，由此产生的费用和法律后果由理财产品承担。甲方对此充分理解并同意该等授权安排。乙方采取上述行动所产生的费用，若乙方进行垫付的，乙方有权直接从理财产品财产中优先受偿。</w:t>
      </w:r>
    </w:p>
    <w:p w14:paraId="5D994AA1">
      <w:pPr>
        <w:ind w:firstLine="360" w:firstLineChars="200"/>
        <w:rPr>
          <w:rFonts w:hint="eastAsia" w:ascii="仿宋" w:hAnsi="仿宋" w:eastAsia="仿宋" w:cs="Times New Roman"/>
          <w:sz w:val="18"/>
          <w:szCs w:val="18"/>
          <w:lang w:val="en-US" w:eastAsia="zh-CN"/>
        </w:rPr>
      </w:pPr>
      <w:r>
        <w:rPr>
          <w:rFonts w:hint="eastAsia" w:ascii="仿宋" w:hAnsi="仿宋" w:eastAsia="仿宋" w:cs="Times New Roman"/>
          <w:sz w:val="18"/>
          <w:szCs w:val="18"/>
          <w:lang w:val="en-US" w:eastAsia="zh-CN"/>
        </w:rPr>
        <w:t>3、乙方有权依照《产品说明书》的约定收取管理费、浮动业绩报酬、销售服务费等理财产品相关费用、具体收费项目、条件、方式和标准详见《产品说明书》。乙方亦有权对已约定的收费项目、条件、标准和方式进行调整，但须在调整前通过《产品说明书》约定的信息披露方式向投资者进行信息披露。</w:t>
      </w:r>
    </w:p>
    <w:p w14:paraId="5CD0D92E">
      <w:pPr>
        <w:ind w:firstLine="360" w:firstLineChars="200"/>
        <w:rPr>
          <w:rFonts w:hint="eastAsia" w:ascii="仿宋" w:hAnsi="仿宋" w:eastAsia="仿宋" w:cs="Times New Roman"/>
          <w:sz w:val="18"/>
          <w:szCs w:val="18"/>
          <w:lang w:val="en-US" w:eastAsia="zh-CN"/>
        </w:rPr>
      </w:pPr>
      <w:r>
        <w:rPr>
          <w:rFonts w:hint="eastAsia" w:ascii="仿宋" w:hAnsi="仿宋" w:eastAsia="仿宋" w:cs="Times New Roman"/>
          <w:sz w:val="18"/>
          <w:szCs w:val="18"/>
          <w:lang w:val="en-US" w:eastAsia="zh-CN"/>
        </w:rPr>
        <w:t>4、乙方有权按照《产品说明书》的约定确定收益分配方式向甲方分配产品收益。</w:t>
      </w:r>
    </w:p>
    <w:p w14:paraId="5328999E">
      <w:pPr>
        <w:ind w:firstLine="360" w:firstLineChars="200"/>
        <w:rPr>
          <w:rFonts w:hint="eastAsia" w:ascii="仿宋" w:hAnsi="仿宋" w:eastAsia="仿宋" w:cs="Times New Roman"/>
          <w:sz w:val="18"/>
          <w:szCs w:val="18"/>
          <w:lang w:val="en-US" w:eastAsia="zh-CN"/>
        </w:rPr>
      </w:pPr>
      <w:r>
        <w:rPr>
          <w:rFonts w:hint="eastAsia" w:ascii="仿宋" w:hAnsi="仿宋" w:eastAsia="仿宋" w:cs="Times New Roman"/>
          <w:sz w:val="18"/>
          <w:szCs w:val="18"/>
          <w:lang w:val="en-US" w:eastAsia="zh-CN"/>
        </w:rPr>
        <w:t>5、乙方有权按照《产品说明书》的约定披露理财产品相关信息。相关信息披露内容构成理财产品销售文件不可分割的一部分，与理财产品销售文件具有同等效力，甲方应在充分知晓、理解有关信息披露内容后签署本协议，并在签署本协议后通过约定的信息披露渠道持续关注理财产品信息披露内容。</w:t>
      </w:r>
    </w:p>
    <w:p w14:paraId="579A2F6B">
      <w:pPr>
        <w:ind w:firstLine="360" w:firstLineChars="200"/>
        <w:rPr>
          <w:rFonts w:hint="eastAsia" w:ascii="仿宋" w:hAnsi="仿宋" w:eastAsia="仿宋" w:cs="Times New Roman"/>
          <w:sz w:val="18"/>
          <w:szCs w:val="18"/>
          <w:lang w:val="en-US" w:eastAsia="zh-CN"/>
        </w:rPr>
      </w:pPr>
      <w:r>
        <w:rPr>
          <w:rFonts w:hint="eastAsia" w:ascii="仿宋" w:hAnsi="仿宋" w:eastAsia="仿宋" w:cs="Times New Roman"/>
          <w:sz w:val="18"/>
          <w:szCs w:val="18"/>
          <w:lang w:val="en-US" w:eastAsia="zh-CN"/>
        </w:rPr>
        <w:t>6、根据相关法律、法规规定及监管部门等有权机构要求，乙方在向甲方销售理财产品时，会对产品销售过程以及销售记录进行客观审慎的记录；其中，甲方通过乙方营业网点销售专区购买理财产品的，即甲方授权乙方对销售行为进行音像采集。甲方通过电子渠道购买乙方理财产品的，即甲方授权乙方完整客观记录营销推介、产品风险和关键信息提示、确认和反馈等重点销售环节，用于追溯检查和核查取证用途。</w:t>
      </w:r>
    </w:p>
    <w:p w14:paraId="511A00B9">
      <w:pPr>
        <w:ind w:firstLine="360" w:firstLineChars="200"/>
        <w:rPr>
          <w:rFonts w:hint="eastAsia" w:ascii="仿宋" w:hAnsi="仿宋" w:eastAsia="仿宋" w:cs="Times New Roman"/>
          <w:sz w:val="18"/>
          <w:szCs w:val="18"/>
          <w:lang w:val="en-US" w:eastAsia="zh-CN"/>
        </w:rPr>
      </w:pPr>
      <w:r>
        <w:rPr>
          <w:rFonts w:hint="eastAsia" w:ascii="仿宋" w:hAnsi="仿宋" w:eastAsia="仿宋" w:cs="Times New Roman"/>
          <w:sz w:val="18"/>
          <w:szCs w:val="18"/>
          <w:lang w:val="en-US" w:eastAsia="zh-CN"/>
        </w:rPr>
        <w:t>7、基于乙方履行理财产品销售文件所载明的各项义务，进行服务管理和风险管理、报送监管信息，履行反洗钱、反恐怖融资、非居民金融账户涉税信息尽职调查、投资者资质审核和销售适当性等法律法规和监管要求的义务的需要，甲方授权乙方在业务办理或履行过程中直接获取并报送、处理甲方个人信息，处理方式为收集、存储、使用、加工、传输、提供等。个人信息包括姓名、性别、国籍或地区、职业、联系方式、地址、身份证件信息，理财账户、银行账户等账户信息，风险承受能力等级、理财产品交易时间等金融交易信息，持有理财产品信息等财产信息，及法律法规、监管要求或行业自律准则规定的其他信息；在乙方履行相关法律法规、监管规定的义务及有权机关要求的情况下，甲方授权乙方向银行业理财登记托管中心、监管机构及其他有权机关报送或提供上述信息。乙方将妥善保管投资者理财产品销售相关资料，保管年限不低于相关法律法规及监管规定的年限；超出必要保管期限后，乙方将及时删除投资者的档案（包括以电子化形式以及纸质文本形式保管的投资者个人信息）。</w:t>
      </w:r>
    </w:p>
    <w:p w14:paraId="6D9AA5C7">
      <w:pPr>
        <w:ind w:firstLine="360" w:firstLineChars="200"/>
        <w:rPr>
          <w:rFonts w:hint="eastAsia" w:ascii="仿宋" w:hAnsi="仿宋" w:eastAsia="仿宋" w:cs="Times New Roman"/>
          <w:sz w:val="18"/>
          <w:szCs w:val="18"/>
          <w:lang w:val="en-US" w:eastAsia="zh-CN"/>
        </w:rPr>
      </w:pPr>
      <w:r>
        <w:rPr>
          <w:rFonts w:hint="eastAsia" w:ascii="仿宋" w:hAnsi="仿宋" w:eastAsia="仿宋" w:cs="Times New Roman"/>
          <w:sz w:val="18"/>
          <w:szCs w:val="18"/>
          <w:lang w:val="en-US" w:eastAsia="zh-CN"/>
        </w:rPr>
        <w:t>8、乙方有义务按照《产品说明书》的约定在理财产品到期日或兑付日将依约支付的理财资金划入甲方指定账户中。如因甲方原因导致理财资金无法入账的，由此导致损失的由甲方承担，乙方不承担责任。</w:t>
      </w:r>
    </w:p>
    <w:p w14:paraId="60D6A4B3">
      <w:pPr>
        <w:ind w:firstLine="360" w:firstLineChars="200"/>
        <w:rPr>
          <w:rFonts w:hint="eastAsia" w:ascii="仿宋" w:hAnsi="仿宋" w:eastAsia="仿宋" w:cs="Times New Roman"/>
          <w:sz w:val="18"/>
          <w:szCs w:val="18"/>
          <w:lang w:val="en-US" w:eastAsia="zh-CN"/>
        </w:rPr>
      </w:pPr>
      <w:r>
        <w:rPr>
          <w:rFonts w:hint="eastAsia" w:ascii="仿宋" w:hAnsi="仿宋" w:eastAsia="仿宋" w:cs="Times New Roman"/>
          <w:sz w:val="18"/>
          <w:szCs w:val="18"/>
          <w:lang w:val="en-US" w:eastAsia="zh-CN"/>
        </w:rPr>
        <w:t>9、除法律、法规、监管规定另有规定或双方另有约定外，乙方不负责代扣代缴甲方应缴纳的税款。</w:t>
      </w:r>
    </w:p>
    <w:p w14:paraId="257945F7">
      <w:pPr>
        <w:ind w:firstLine="360" w:firstLineChars="200"/>
        <w:rPr>
          <w:rFonts w:hint="eastAsia" w:ascii="仿宋" w:hAnsi="仿宋" w:eastAsia="仿宋" w:cs="Times New Roman"/>
          <w:sz w:val="18"/>
          <w:szCs w:val="18"/>
          <w:lang w:val="en-US" w:eastAsia="zh-CN"/>
        </w:rPr>
      </w:pPr>
      <w:r>
        <w:rPr>
          <w:rFonts w:hint="eastAsia" w:ascii="仿宋" w:hAnsi="仿宋" w:eastAsia="仿宋" w:cs="Times New Roman"/>
          <w:sz w:val="18"/>
          <w:szCs w:val="18"/>
          <w:lang w:val="en-US" w:eastAsia="zh-CN"/>
        </w:rPr>
        <w:t>10、乙方接受甲方的委托和授权，按照法律、法规、监管规定以及理财产品销售文件的约定，遵循诚实信用、勤勉尽责的原则履行受托管理职责，维护甲方合法权益。</w:t>
      </w:r>
    </w:p>
    <w:p w14:paraId="387DCD87">
      <w:pPr>
        <w:ind w:firstLine="360" w:firstLineChars="200"/>
        <w:rPr>
          <w:rFonts w:hint="eastAsia" w:ascii="仿宋" w:hAnsi="仿宋" w:eastAsia="仿宋" w:cs="Times New Roman"/>
          <w:sz w:val="18"/>
          <w:szCs w:val="18"/>
          <w:lang w:val="en-US" w:eastAsia="zh-CN"/>
        </w:rPr>
      </w:pPr>
      <w:r>
        <w:rPr>
          <w:rFonts w:hint="eastAsia" w:ascii="仿宋" w:hAnsi="仿宋" w:eastAsia="仿宋" w:cs="Times New Roman"/>
          <w:sz w:val="18"/>
          <w:szCs w:val="18"/>
          <w:lang w:val="en-US" w:eastAsia="zh-CN"/>
        </w:rPr>
        <w:t>11、乙方对本协议及其条款负有保密义务，未经甲方许可，乙方不得向任何组织、个人提供或泄露与甲方有关的业务资料及信息，但法律、法规及监管机构另有规定、乙方向专业咨询机构进行咨询涉及的披露以及甲乙双方另有约定的其他情况除外。</w:t>
      </w:r>
    </w:p>
    <w:p w14:paraId="4D4281BE">
      <w:pPr>
        <w:ind w:firstLine="360" w:firstLineChars="200"/>
        <w:rPr>
          <w:rFonts w:hint="eastAsia" w:ascii="仿宋" w:hAnsi="仿宋" w:eastAsia="仿宋" w:cs="Times New Roman"/>
          <w:sz w:val="18"/>
          <w:szCs w:val="18"/>
          <w:lang w:val="en-US" w:eastAsia="zh-CN"/>
        </w:rPr>
      </w:pPr>
      <w:r>
        <w:rPr>
          <w:rFonts w:hint="eastAsia" w:ascii="仿宋" w:hAnsi="仿宋" w:eastAsia="仿宋" w:cs="Times New Roman"/>
          <w:sz w:val="18"/>
          <w:szCs w:val="18"/>
          <w:lang w:val="en-US" w:eastAsia="zh-CN"/>
        </w:rPr>
        <w:t>12、法律、法规、监管规定和其他在本产品所对应理财产品销售文件中约定的乙方的权利与义务。</w:t>
      </w:r>
    </w:p>
    <w:p w14:paraId="0B783DBA">
      <w:pPr>
        <w:ind w:firstLine="361" w:firstLineChars="200"/>
        <w:rPr>
          <w:rFonts w:hint="eastAsia" w:ascii="仿宋" w:hAnsi="仿宋" w:eastAsia="仿宋" w:cs="Times New Roman"/>
          <w:b/>
          <w:bCs/>
          <w:sz w:val="18"/>
          <w:szCs w:val="18"/>
          <w:lang w:val="en-US" w:eastAsia="zh-CN"/>
        </w:rPr>
      </w:pPr>
      <w:r>
        <w:rPr>
          <w:rFonts w:hint="eastAsia" w:ascii="仿宋" w:hAnsi="仿宋" w:eastAsia="仿宋" w:cs="Times New Roman"/>
          <w:b/>
          <w:bCs/>
          <w:sz w:val="18"/>
          <w:szCs w:val="18"/>
          <w:lang w:val="en-US" w:eastAsia="zh-CN"/>
        </w:rPr>
        <w:t>第五条 个人信息使用说明及授权</w:t>
      </w:r>
    </w:p>
    <w:p w14:paraId="1EE4CB09">
      <w:pPr>
        <w:ind w:firstLine="360" w:firstLineChars="200"/>
        <w:rPr>
          <w:rFonts w:hint="eastAsia" w:ascii="仿宋" w:hAnsi="仿宋" w:eastAsia="仿宋" w:cs="Times New Roman"/>
          <w:sz w:val="18"/>
          <w:szCs w:val="18"/>
          <w:lang w:val="en-US" w:eastAsia="zh-CN"/>
        </w:rPr>
      </w:pPr>
      <w:r>
        <w:rPr>
          <w:rFonts w:hint="eastAsia" w:ascii="仿宋" w:hAnsi="仿宋" w:eastAsia="仿宋" w:cs="Times New Roman"/>
          <w:sz w:val="18"/>
          <w:szCs w:val="18"/>
          <w:lang w:val="en-US" w:eastAsia="zh-CN"/>
        </w:rPr>
        <w:t>乙方将按照《个人信息保护法》等法律法规规定，遵循合法、正当、必要和诚信的原则，以收集、存储、使用、传输、提供等方式处理甲方的个人信息。</w:t>
      </w:r>
    </w:p>
    <w:p w14:paraId="4A4DD02A">
      <w:pPr>
        <w:ind w:firstLine="361" w:firstLineChars="200"/>
        <w:rPr>
          <w:rFonts w:hint="eastAsia" w:ascii="仿宋" w:hAnsi="仿宋" w:eastAsia="仿宋" w:cs="Times New Roman"/>
          <w:b/>
          <w:bCs/>
          <w:sz w:val="18"/>
          <w:szCs w:val="18"/>
          <w:lang w:val="en-US" w:eastAsia="zh-CN"/>
        </w:rPr>
      </w:pPr>
      <w:r>
        <w:rPr>
          <w:rFonts w:hint="eastAsia" w:ascii="仿宋" w:hAnsi="仿宋" w:eastAsia="仿宋" w:cs="Times New Roman"/>
          <w:b/>
          <w:bCs/>
          <w:sz w:val="18"/>
          <w:szCs w:val="18"/>
          <w:lang w:val="en-US" w:eastAsia="zh-CN"/>
        </w:rPr>
        <w:t>甲方同意并授权乙方有权按照法律法规和监管要求，根据甲方所申请业务的类型，收集存储甲方在办理本业务过程中主动提供或因使用服务而产生的个人信息，</w:t>
      </w:r>
      <w:r>
        <w:rPr>
          <w:rFonts w:hint="eastAsia" w:ascii="仿宋" w:hAnsi="仿宋" w:eastAsia="仿宋" w:cs="Times New Roman"/>
          <w:sz w:val="18"/>
          <w:szCs w:val="18"/>
          <w:lang w:val="en-US" w:eastAsia="zh-CN"/>
        </w:rPr>
        <w:t>个人信息包括姓名、性别、国籍或地区、职业、联系方式、地址、身份证件信息，理财账户、银行账户等账户信息，风险承受能力等级、理财产品交易时间等金融交易信息，持有理财产品信息等财产信息，及法律法规、监管要求或行业自律准则规定的其他信息。 甲方同意并授权乙方将前述个人信息用于履行本协议、进行服务管理和风险管理、监管报送、资金划拨、产品赎回、处理本业务项下纠纷、反欺诈、反洗钱及非居民金融账户涉税信息尽职调查、投资者资质审核、销售适当性等法律、法规和监管要求义务；同意并授权乙方仅为满足正常办理理财业务及报送监管数据等法律、法规和监管要求之目的向银行业理财登记托管中心、监管机构及其他有权机关提供姓名、证件类型、证件号码、交易记录等满足法律、法规和监管要求的最低范围个人信息，接收该信息的上述第三方将为本协议项下事务之目的接触并按照乙方的业务需要或法律法规及监管要求使用甲方信息，乙方对甲方个人信息负有保密义务。</w:t>
      </w:r>
      <w:r>
        <w:rPr>
          <w:rFonts w:hint="eastAsia" w:ascii="仿宋" w:hAnsi="仿宋" w:eastAsia="仿宋" w:cs="Times New Roman"/>
          <w:b/>
          <w:bCs/>
          <w:sz w:val="18"/>
          <w:szCs w:val="18"/>
          <w:lang w:val="en-US" w:eastAsia="zh-CN"/>
        </w:rPr>
        <w:t>甲方签署本协议即视为知悉并同意上述授权，如甲方不同意上述授权，请拒绝签署本协议。</w:t>
      </w:r>
    </w:p>
    <w:p w14:paraId="2637C86E">
      <w:pPr>
        <w:ind w:firstLine="360" w:firstLineChars="200"/>
        <w:rPr>
          <w:rFonts w:hint="eastAsia" w:ascii="仿宋" w:hAnsi="仿宋" w:eastAsia="仿宋" w:cs="Times New Roman"/>
          <w:sz w:val="18"/>
          <w:szCs w:val="18"/>
          <w:lang w:val="en-US" w:eastAsia="zh-CN"/>
        </w:rPr>
      </w:pPr>
      <w:r>
        <w:rPr>
          <w:rFonts w:hint="eastAsia" w:ascii="仿宋" w:hAnsi="仿宋" w:eastAsia="仿宋" w:cs="Times New Roman"/>
          <w:sz w:val="18"/>
          <w:szCs w:val="18"/>
          <w:lang w:val="en-US" w:eastAsia="zh-CN"/>
        </w:rPr>
        <w:t>对于甲方授权乙方处理的个人信息，乙方将按照法律法规、监管规定及双方约定开展信息处理行为，并采取相应的安全措施保护相关个人信息。除法律法规及监管规范另有规定或者甲方同意被披露外，乙方不得向任何组织、个人提供或泄漏与投资者有关的资料和信息。</w:t>
      </w:r>
    </w:p>
    <w:p w14:paraId="4510F063">
      <w:pPr>
        <w:ind w:firstLine="361" w:firstLineChars="200"/>
        <w:rPr>
          <w:rFonts w:hint="eastAsia" w:ascii="仿宋" w:hAnsi="仿宋" w:eastAsia="仿宋" w:cs="Times New Roman"/>
          <w:b/>
          <w:bCs/>
          <w:sz w:val="18"/>
          <w:szCs w:val="18"/>
          <w:lang w:val="en-US" w:eastAsia="zh-CN"/>
        </w:rPr>
      </w:pPr>
      <w:r>
        <w:rPr>
          <w:rFonts w:hint="eastAsia" w:ascii="仿宋" w:hAnsi="仿宋" w:eastAsia="仿宋" w:cs="Times New Roman"/>
          <w:b/>
          <w:bCs/>
          <w:sz w:val="18"/>
          <w:szCs w:val="18"/>
          <w:lang w:val="en-US" w:eastAsia="zh-CN"/>
        </w:rPr>
        <w:t>第六条 违约责任</w:t>
      </w:r>
    </w:p>
    <w:p w14:paraId="35E2EA4B">
      <w:pPr>
        <w:ind w:firstLine="360" w:firstLineChars="200"/>
        <w:rPr>
          <w:rFonts w:ascii="宋体" w:hAnsi="宋体" w:eastAsia="宋体"/>
          <w:szCs w:val="21"/>
        </w:rPr>
      </w:pPr>
      <w:r>
        <w:rPr>
          <w:rFonts w:hint="eastAsia" w:ascii="仿宋" w:hAnsi="仿宋" w:eastAsia="仿宋" w:cs="Times New Roman"/>
          <w:b w:val="0"/>
          <w:bCs w:val="0"/>
          <w:sz w:val="18"/>
          <w:szCs w:val="18"/>
          <w:lang w:val="en-US" w:eastAsia="zh-CN"/>
        </w:rPr>
        <w:t>由于本协议一方当事</w:t>
      </w:r>
      <w:r>
        <w:rPr>
          <w:rFonts w:hint="eastAsia" w:ascii="仿宋" w:hAnsi="仿宋" w:eastAsia="仿宋" w:cs="Times New Roman"/>
          <w:sz w:val="18"/>
          <w:szCs w:val="18"/>
          <w:lang w:val="en-US" w:eastAsia="zh-CN"/>
        </w:rPr>
        <w:t>人的过错，造成本协议不能履行或不能完全履行的，由有过错的一方承担违约责任；如双方同时负有过错，则应由双方各自按照过错程度承担责任。</w:t>
      </w:r>
    </w:p>
    <w:p w14:paraId="5D432167">
      <w:pPr>
        <w:ind w:firstLine="361" w:firstLineChars="200"/>
        <w:rPr>
          <w:rFonts w:hint="eastAsia" w:ascii="仿宋" w:hAnsi="仿宋" w:eastAsia="仿宋" w:cs="Times New Roman"/>
          <w:b/>
          <w:bCs/>
          <w:sz w:val="18"/>
          <w:szCs w:val="18"/>
          <w:lang w:val="en-US" w:eastAsia="zh-CN"/>
        </w:rPr>
      </w:pPr>
      <w:r>
        <w:rPr>
          <w:rFonts w:hint="eastAsia" w:ascii="仿宋" w:hAnsi="仿宋" w:eastAsia="仿宋" w:cs="Times New Roman"/>
          <w:b/>
          <w:bCs/>
          <w:sz w:val="18"/>
          <w:szCs w:val="18"/>
          <w:lang w:val="en-US" w:eastAsia="zh-CN"/>
        </w:rPr>
        <w:t>第七条 免责条款</w:t>
      </w:r>
    </w:p>
    <w:p w14:paraId="7365444E">
      <w:pPr>
        <w:ind w:firstLine="360" w:firstLineChars="200"/>
        <w:rPr>
          <w:rFonts w:hint="eastAsia" w:ascii="仿宋" w:hAnsi="仿宋" w:eastAsia="仿宋" w:cs="Times New Roman"/>
          <w:sz w:val="18"/>
          <w:szCs w:val="18"/>
          <w:lang w:val="en-US" w:eastAsia="zh-CN"/>
        </w:rPr>
      </w:pPr>
      <w:r>
        <w:rPr>
          <w:rFonts w:hint="eastAsia" w:ascii="仿宋" w:hAnsi="仿宋" w:eastAsia="仿宋" w:cs="Times New Roman"/>
          <w:sz w:val="18"/>
          <w:szCs w:val="18"/>
          <w:lang w:val="en-US" w:eastAsia="zh-CN"/>
        </w:rPr>
        <w:t>1、由于国家法律、法规、监管规定、监管部门政策变化、紧急措施的出台而导致甲方蒙受损失或协议终止的，乙方不承担责任。</w:t>
      </w:r>
    </w:p>
    <w:p w14:paraId="0EFA6704">
      <w:pPr>
        <w:ind w:firstLine="360" w:firstLineChars="200"/>
        <w:rPr>
          <w:rFonts w:hint="eastAsia" w:ascii="仿宋" w:hAnsi="仿宋" w:eastAsia="仿宋" w:cs="Times New Roman"/>
          <w:sz w:val="18"/>
          <w:szCs w:val="18"/>
          <w:lang w:val="en-US" w:eastAsia="zh-CN"/>
        </w:rPr>
      </w:pPr>
      <w:r>
        <w:rPr>
          <w:rFonts w:hint="eastAsia" w:ascii="仿宋" w:hAnsi="仿宋" w:eastAsia="仿宋" w:cs="Times New Roman"/>
          <w:sz w:val="18"/>
          <w:szCs w:val="18"/>
          <w:lang w:val="en-US" w:eastAsia="zh-CN"/>
        </w:rPr>
        <w:t>2、由于自然灾害、意外事故、战争、系统故障、通讯故障等不可抗力或乙方无过错且无法避免的外因而导致的交易中断、延误等风险及损失，乙方不承担责任。</w:t>
      </w:r>
    </w:p>
    <w:p w14:paraId="374EAF8A">
      <w:pPr>
        <w:ind w:firstLine="360" w:firstLineChars="200"/>
        <w:rPr>
          <w:rFonts w:hint="eastAsia" w:ascii="仿宋" w:hAnsi="仿宋" w:eastAsia="仿宋" w:cs="Times New Roman"/>
          <w:sz w:val="18"/>
          <w:szCs w:val="18"/>
          <w:lang w:val="en-US" w:eastAsia="zh-CN"/>
        </w:rPr>
      </w:pPr>
      <w:r>
        <w:rPr>
          <w:rFonts w:hint="eastAsia" w:ascii="仿宋" w:hAnsi="仿宋" w:eastAsia="仿宋" w:cs="Times New Roman"/>
          <w:sz w:val="18"/>
          <w:szCs w:val="18"/>
          <w:lang w:val="en-US" w:eastAsia="zh-CN"/>
        </w:rPr>
        <w:t>3、非因乙方原因（包括但不限于甲方遗失本协议、甲方协议被盗用、甲方指定账户被司法机关等有权部门冻结、扣划等原因）造成的损失，乙方不承担责任。</w:t>
      </w:r>
    </w:p>
    <w:p w14:paraId="60B1059E">
      <w:pPr>
        <w:ind w:firstLine="360" w:firstLineChars="200"/>
        <w:rPr>
          <w:rFonts w:hint="eastAsia" w:ascii="仿宋" w:hAnsi="仿宋" w:eastAsia="仿宋" w:cs="Times New Roman"/>
          <w:sz w:val="18"/>
          <w:szCs w:val="18"/>
          <w:lang w:val="en-US" w:eastAsia="zh-CN"/>
        </w:rPr>
      </w:pPr>
      <w:r>
        <w:rPr>
          <w:rFonts w:hint="eastAsia" w:ascii="仿宋" w:hAnsi="仿宋" w:eastAsia="仿宋" w:cs="Times New Roman"/>
          <w:sz w:val="18"/>
          <w:szCs w:val="18"/>
          <w:lang w:val="en-US" w:eastAsia="zh-CN"/>
        </w:rPr>
        <w:t>4、发生前述情形时，乙方将在条件允许并且不违反法律、法规及监管规定的情况下采取必要合理的补救措施，尽力保护甲方利益，以减少甲方损失。</w:t>
      </w:r>
    </w:p>
    <w:p w14:paraId="023158FE">
      <w:pPr>
        <w:ind w:firstLine="361" w:firstLineChars="200"/>
        <w:rPr>
          <w:rFonts w:hint="eastAsia" w:ascii="仿宋" w:hAnsi="仿宋" w:eastAsia="仿宋" w:cs="Times New Roman"/>
          <w:b/>
          <w:bCs/>
          <w:sz w:val="18"/>
          <w:szCs w:val="18"/>
          <w:lang w:val="en-US" w:eastAsia="zh-CN"/>
        </w:rPr>
      </w:pPr>
      <w:r>
        <w:rPr>
          <w:rFonts w:hint="eastAsia" w:ascii="仿宋" w:hAnsi="仿宋" w:eastAsia="仿宋" w:cs="Times New Roman"/>
          <w:b/>
          <w:bCs/>
          <w:sz w:val="18"/>
          <w:szCs w:val="18"/>
          <w:lang w:val="en-US" w:eastAsia="zh-CN"/>
        </w:rPr>
        <w:t>第八条 争议处理</w:t>
      </w:r>
    </w:p>
    <w:p w14:paraId="3A2FAC8A">
      <w:pPr>
        <w:ind w:firstLine="360" w:firstLineChars="200"/>
        <w:rPr>
          <w:rFonts w:hint="eastAsia" w:ascii="仿宋" w:hAnsi="仿宋" w:eastAsia="仿宋" w:cs="Times New Roman"/>
          <w:sz w:val="18"/>
          <w:szCs w:val="18"/>
          <w:lang w:val="en-US" w:eastAsia="zh-CN"/>
        </w:rPr>
      </w:pPr>
      <w:r>
        <w:rPr>
          <w:rFonts w:hint="eastAsia" w:ascii="仿宋" w:hAnsi="仿宋" w:eastAsia="仿宋" w:cs="Times New Roman"/>
          <w:sz w:val="18"/>
          <w:szCs w:val="18"/>
          <w:lang w:val="en-US" w:eastAsia="zh-CN"/>
        </w:rPr>
        <w:t>本协议履行过程中所发生的一切争议，双方应本着诚实守信的原则，友好协商解决。如协商不成，可依法向乙方所在地人民法院提起诉讼。</w:t>
      </w:r>
    </w:p>
    <w:p w14:paraId="51FB00AD">
      <w:pPr>
        <w:ind w:firstLine="360" w:firstLineChars="200"/>
        <w:rPr>
          <w:rFonts w:hint="eastAsia" w:ascii="仿宋" w:hAnsi="仿宋" w:eastAsia="仿宋" w:cs="Times New Roman"/>
          <w:sz w:val="18"/>
          <w:szCs w:val="18"/>
          <w:lang w:val="en-US" w:eastAsia="zh-CN"/>
        </w:rPr>
      </w:pPr>
      <w:r>
        <w:rPr>
          <w:rFonts w:hint="eastAsia" w:ascii="仿宋" w:hAnsi="仿宋" w:eastAsia="仿宋" w:cs="Times New Roman"/>
          <w:sz w:val="18"/>
          <w:szCs w:val="18"/>
          <w:lang w:val="en-US" w:eastAsia="zh-CN"/>
        </w:rPr>
        <w:t>在争议解决期间，若该争议不影响本协议其他条款及其他理财产品销售文件各条款的履行，前述条款应继续履行。因处理争议产生的费用（包括但不限于律师费、诉讼费等），除法院判决 / 裁定另有规定，由败诉方承担。</w:t>
      </w:r>
    </w:p>
    <w:p w14:paraId="2555D5D3">
      <w:pPr>
        <w:ind w:firstLine="361" w:firstLineChars="200"/>
        <w:rPr>
          <w:rFonts w:hint="eastAsia" w:ascii="仿宋" w:hAnsi="仿宋" w:eastAsia="仿宋" w:cs="Times New Roman"/>
          <w:b/>
          <w:bCs/>
          <w:sz w:val="18"/>
          <w:szCs w:val="18"/>
          <w:lang w:val="en-US" w:eastAsia="zh-CN"/>
        </w:rPr>
      </w:pPr>
      <w:r>
        <w:rPr>
          <w:rFonts w:hint="eastAsia" w:ascii="仿宋" w:hAnsi="仿宋" w:eastAsia="仿宋" w:cs="Times New Roman"/>
          <w:b/>
          <w:bCs/>
          <w:sz w:val="18"/>
          <w:szCs w:val="18"/>
          <w:lang w:val="en-US" w:eastAsia="zh-CN"/>
        </w:rPr>
        <w:t>第九条 协议生效和终止</w:t>
      </w:r>
    </w:p>
    <w:p w14:paraId="68F8C57C">
      <w:pPr>
        <w:ind w:firstLine="360" w:firstLineChars="200"/>
        <w:rPr>
          <w:rFonts w:hint="eastAsia" w:ascii="仿宋" w:hAnsi="仿宋" w:eastAsia="仿宋" w:cs="Times New Roman"/>
          <w:sz w:val="18"/>
          <w:szCs w:val="18"/>
          <w:lang w:val="en-US" w:eastAsia="zh-CN"/>
        </w:rPr>
      </w:pPr>
      <w:r>
        <w:rPr>
          <w:rFonts w:hint="eastAsia" w:ascii="仿宋" w:hAnsi="仿宋" w:eastAsia="仿宋" w:cs="Times New Roman"/>
          <w:sz w:val="18"/>
          <w:szCs w:val="18"/>
          <w:lang w:val="en-US" w:eastAsia="zh-CN"/>
        </w:rPr>
        <w:t>1、本协议在甲方签字，乙方签章或者甲方通过网上银行、手机银行等电子渠道自行确认后（包括但不限于数字证书、密码、点击确认等形式），且乙方确认甲方成功认（申）购并收到甲方缴付的全部投资本金款项之日起生效。</w:t>
      </w:r>
    </w:p>
    <w:p w14:paraId="2ABD0AFA">
      <w:pPr>
        <w:ind w:firstLine="360" w:firstLineChars="200"/>
        <w:rPr>
          <w:rFonts w:hint="eastAsia" w:ascii="仿宋" w:hAnsi="仿宋" w:eastAsia="仿宋" w:cs="Times New Roman"/>
          <w:sz w:val="18"/>
          <w:szCs w:val="18"/>
          <w:lang w:val="en-US" w:eastAsia="zh-CN"/>
        </w:rPr>
      </w:pPr>
      <w:r>
        <w:rPr>
          <w:rFonts w:hint="eastAsia" w:ascii="仿宋" w:hAnsi="仿宋" w:eastAsia="仿宋" w:cs="Times New Roman"/>
          <w:sz w:val="18"/>
          <w:szCs w:val="18"/>
          <w:lang w:val="en-US" w:eastAsia="zh-CN"/>
        </w:rPr>
        <w:t>2、甲方购买理财产品失败、扣款失败、甲方或乙方行使提前终止权、乙方募集不成功或理财产品到期并结清后，本协议自动终止。双方认可线上点击同意具有与书面签署同等的法律效力。</w:t>
      </w:r>
    </w:p>
    <w:p w14:paraId="315AE5FF">
      <w:pPr>
        <w:ind w:firstLine="360" w:firstLineChars="200"/>
        <w:rPr>
          <w:rFonts w:hint="eastAsia" w:ascii="仿宋" w:hAnsi="仿宋" w:eastAsia="仿宋" w:cs="Times New Roman"/>
          <w:sz w:val="18"/>
          <w:szCs w:val="18"/>
          <w:lang w:val="en-US" w:eastAsia="zh-CN"/>
        </w:rPr>
      </w:pPr>
      <w:r>
        <w:rPr>
          <w:rFonts w:hint="eastAsia" w:ascii="仿宋" w:hAnsi="仿宋" w:eastAsia="仿宋" w:cs="Times New Roman"/>
          <w:sz w:val="18"/>
          <w:szCs w:val="18"/>
          <w:lang w:val="en-US" w:eastAsia="zh-CN"/>
        </w:rPr>
        <w:t>3、甲方知悉并确认，乙方对于理财产品项下甲方认（申）购份额的确认即视为乙方对于本协议的签署和认可，受本协议约束，甲方不得以乙方不在本协议中签名或盖章为由主张本协议不成立或不生效。</w:t>
      </w:r>
    </w:p>
    <w:p w14:paraId="073644ED">
      <w:pPr>
        <w:ind w:firstLine="360" w:firstLineChars="200"/>
        <w:rPr>
          <w:rFonts w:hint="eastAsia" w:ascii="仿宋" w:hAnsi="仿宋" w:eastAsia="仿宋" w:cs="Times New Roman"/>
          <w:sz w:val="18"/>
          <w:szCs w:val="18"/>
          <w:lang w:val="en-US" w:eastAsia="zh-CN"/>
        </w:rPr>
      </w:pPr>
      <w:r>
        <w:rPr>
          <w:rFonts w:hint="eastAsia" w:ascii="仿宋" w:hAnsi="仿宋" w:eastAsia="仿宋" w:cs="Times New Roman"/>
          <w:sz w:val="18"/>
          <w:szCs w:val="18"/>
          <w:lang w:val="en-US" w:eastAsia="zh-CN"/>
        </w:rPr>
        <w:t>4、除《产品说明书》约定的提前终止情形外，甲方发生违反理财产品销售文件的违约行为或交易资金被国家有权机关采取冻结、扣划等保全措施时，乙方有权提前终止本协议，造成甲方损失的，乙方不承担责任。</w:t>
      </w:r>
    </w:p>
    <w:p w14:paraId="47FEF10B">
      <w:pPr>
        <w:ind w:firstLine="360" w:firstLineChars="200"/>
        <w:rPr>
          <w:rFonts w:hint="eastAsia" w:ascii="仿宋" w:hAnsi="仿宋" w:eastAsia="仿宋" w:cs="Times New Roman"/>
          <w:sz w:val="18"/>
          <w:szCs w:val="18"/>
          <w:lang w:val="en-US" w:eastAsia="zh-CN"/>
        </w:rPr>
      </w:pPr>
      <w:r>
        <w:rPr>
          <w:rFonts w:hint="eastAsia" w:ascii="仿宋" w:hAnsi="仿宋" w:eastAsia="仿宋" w:cs="Times New Roman"/>
          <w:sz w:val="18"/>
          <w:szCs w:val="18"/>
          <w:lang w:val="en-US" w:eastAsia="zh-CN"/>
        </w:rPr>
        <w:t>5、如甲方拒绝配合乙方开展尽职调查，或者乙方发现有关甲方交易存在违法违规，或者乙方发现有合理理由怀疑甲方或其资金存在洗钱、欺诈、侵权、贩毒、恐怖融资、逃税、侵犯知识产权或其他违法犯罪活动，或者甲方或其交易等被列入国际组织、中国或其他国家发布的制裁名单或制裁范围，乙方有权提前终止本协议，造成甲方损失的，乙方不承担责任。</w:t>
      </w:r>
    </w:p>
    <w:p w14:paraId="1A720EA3">
      <w:pPr>
        <w:ind w:firstLine="360" w:firstLineChars="200"/>
        <w:rPr>
          <w:rFonts w:hint="eastAsia" w:ascii="仿宋" w:hAnsi="仿宋" w:eastAsia="仿宋" w:cs="Times New Roman"/>
          <w:sz w:val="18"/>
          <w:szCs w:val="18"/>
          <w:lang w:val="en-US" w:eastAsia="zh-CN"/>
        </w:rPr>
      </w:pPr>
      <w:r>
        <w:rPr>
          <w:rFonts w:hint="eastAsia" w:ascii="仿宋" w:hAnsi="仿宋" w:eastAsia="仿宋" w:cs="Times New Roman"/>
          <w:sz w:val="18"/>
          <w:szCs w:val="18"/>
          <w:lang w:val="en-US" w:eastAsia="zh-CN"/>
        </w:rPr>
        <w:t>6、乙方宣布本理财产品设立失败、乙方或投资者提前终止理财产品（包括但不限于投资者全部赎回理财产品份额）或者理财产品到期并完成清算分配后，本协议自动终止。</w:t>
      </w:r>
    </w:p>
    <w:p w14:paraId="24A83C50">
      <w:pPr>
        <w:ind w:firstLine="360" w:firstLineChars="200"/>
        <w:rPr>
          <w:rFonts w:hint="eastAsia" w:ascii="仿宋" w:hAnsi="仿宋" w:eastAsia="仿宋" w:cs="Times New Roman"/>
          <w:sz w:val="18"/>
          <w:szCs w:val="18"/>
          <w:lang w:val="en-US" w:eastAsia="zh-CN"/>
        </w:rPr>
      </w:pPr>
      <w:r>
        <w:rPr>
          <w:rFonts w:hint="eastAsia" w:ascii="仿宋" w:hAnsi="仿宋" w:eastAsia="仿宋" w:cs="Times New Roman"/>
          <w:sz w:val="18"/>
          <w:szCs w:val="18"/>
          <w:lang w:val="en-US" w:eastAsia="zh-CN"/>
        </w:rPr>
        <w:t>7、本协议及《产品说明书》项下各方权利义务履行完毕之日，本协议自动终止。</w:t>
      </w:r>
    </w:p>
    <w:p w14:paraId="651E8C45">
      <w:pPr>
        <w:ind w:firstLine="360" w:firstLineChars="200"/>
        <w:rPr>
          <w:rFonts w:ascii="宋体" w:hAnsi="宋体" w:eastAsia="宋体"/>
          <w:szCs w:val="21"/>
        </w:rPr>
      </w:pPr>
      <w:r>
        <w:rPr>
          <w:rFonts w:hint="eastAsia" w:ascii="仿宋" w:hAnsi="仿宋" w:eastAsia="仿宋" w:cs="Times New Roman"/>
          <w:sz w:val="18"/>
          <w:szCs w:val="18"/>
          <w:lang w:val="en-US" w:eastAsia="zh-CN"/>
        </w:rPr>
        <w:t>8、乙方有权不定期对本协议进行更新，按照《产品说明书》约定的信息披露方式进行披露。乙方更新本协议并进行披露后，如甲方购买、或继续持有本理财产品的，则视为甲方完全接受最新版本本协议的所有内容。</w:t>
      </w:r>
    </w:p>
    <w:p w14:paraId="5FF830A5">
      <w:pPr>
        <w:ind w:firstLine="361" w:firstLineChars="200"/>
        <w:rPr>
          <w:rFonts w:hint="eastAsia" w:ascii="仿宋" w:hAnsi="仿宋" w:eastAsia="仿宋" w:cs="Times New Roman"/>
          <w:b/>
          <w:bCs/>
          <w:sz w:val="18"/>
          <w:szCs w:val="18"/>
          <w:lang w:val="en-US" w:eastAsia="zh-CN"/>
        </w:rPr>
      </w:pPr>
      <w:r>
        <w:rPr>
          <w:rFonts w:hint="eastAsia" w:ascii="仿宋" w:hAnsi="仿宋" w:eastAsia="仿宋" w:cs="Times New Roman"/>
          <w:b/>
          <w:bCs/>
          <w:sz w:val="18"/>
          <w:szCs w:val="18"/>
          <w:lang w:val="en-US" w:eastAsia="zh-CN"/>
        </w:rPr>
        <w:t>第十条 投诉及建议</w:t>
      </w:r>
    </w:p>
    <w:p w14:paraId="4F6F1444">
      <w:pPr>
        <w:ind w:firstLine="360" w:firstLineChars="200"/>
        <w:rPr>
          <w:rFonts w:hint="eastAsia" w:ascii="宋体" w:hAnsi="宋体" w:eastAsia="宋体"/>
          <w:szCs w:val="21"/>
        </w:rPr>
      </w:pPr>
      <w:r>
        <w:rPr>
          <w:rFonts w:hint="eastAsia" w:ascii="仿宋" w:hAnsi="仿宋" w:eastAsia="仿宋" w:cs="Times New Roman"/>
          <w:sz w:val="18"/>
          <w:szCs w:val="18"/>
          <w:lang w:val="en-US" w:eastAsia="zh-CN"/>
        </w:rPr>
        <w:t>如甲方对所购买的理财产品有任何意见或建议，可向大连农商银行全国统一客户服务与消费投诉热线（96689）进行咨询。</w:t>
      </w:r>
    </w:p>
    <w:p w14:paraId="489E6ACF">
      <w:pPr>
        <w:ind w:firstLine="420" w:firstLineChars="200"/>
        <w:rPr>
          <w:rFonts w:ascii="宋体" w:hAnsi="宋体" w:eastAsia="宋体"/>
          <w:szCs w:val="21"/>
        </w:rPr>
      </w:pPr>
    </w:p>
    <w:p w14:paraId="736944E0">
      <w:pPr>
        <w:ind w:firstLine="361" w:firstLineChars="200"/>
        <w:rPr>
          <w:rFonts w:ascii="宋体" w:hAnsi="宋体" w:eastAsia="宋体"/>
          <w:b/>
          <w:szCs w:val="21"/>
        </w:rPr>
      </w:pPr>
      <w:r>
        <w:rPr>
          <w:rFonts w:hint="eastAsia" w:ascii="仿宋" w:hAnsi="仿宋" w:eastAsia="仿宋" w:cs="Times New Roman"/>
          <w:b/>
          <w:bCs/>
          <w:sz w:val="18"/>
          <w:szCs w:val="18"/>
          <w:lang w:val="en-US" w:eastAsia="zh-CN"/>
        </w:rPr>
        <w:t>声明：甲方是具有完全民事行为能力的自然人，自愿投资本理财产品，接受乙方提供的投资理财服务。甲方确认已完整阅读本理财产品的《产品说明书》、《风险揭示书》、《客户权益须知》及本协议，并清楚知晓全部条款，充分认识到投资本理财产品需要承担的风险。签署本协议视为对前述理财产品销售文件的签署与确认，甲方对本协议相关条款不存在任何疑问或异议，甲方保证所提供的资料真实、有效，并自愿履行本协议的各项义务，自行承担投资风险，特此确认。</w:t>
      </w:r>
    </w:p>
    <w:p w14:paraId="00745E58">
      <w:pPr>
        <w:rPr>
          <w:rFonts w:hint="eastAsia" w:ascii="宋体" w:hAnsi="宋体" w:eastAsia="宋体"/>
          <w:szCs w:val="21"/>
        </w:rPr>
      </w:pPr>
    </w:p>
    <w:p w14:paraId="0B5412F7">
      <w:pPr>
        <w:rPr>
          <w:rFonts w:hint="eastAsia" w:ascii="宋体" w:hAnsi="宋体" w:eastAsia="宋体"/>
          <w:szCs w:val="21"/>
        </w:rPr>
      </w:pPr>
    </w:p>
    <w:p w14:paraId="33683BAA">
      <w:pPr>
        <w:rPr>
          <w:rFonts w:hint="eastAsia" w:ascii="宋体" w:hAnsi="宋体" w:eastAsia="宋体"/>
          <w:szCs w:val="21"/>
        </w:rPr>
      </w:pPr>
    </w:p>
    <w:p w14:paraId="53C16F6D">
      <w:pPr>
        <w:rPr>
          <w:rFonts w:hint="eastAsia" w:ascii="宋体" w:hAnsi="宋体" w:eastAsia="宋体"/>
          <w:szCs w:val="21"/>
        </w:rPr>
      </w:pPr>
    </w:p>
    <w:p w14:paraId="71B97B30">
      <w:pPr>
        <w:rPr>
          <w:rFonts w:ascii="宋体" w:hAnsi="宋体" w:eastAsia="宋体"/>
          <w:szCs w:val="21"/>
        </w:rPr>
      </w:pPr>
      <w:r>
        <w:rPr>
          <w:rFonts w:ascii="宋体" w:hAnsi="宋体" w:eastAsia="宋体"/>
          <w:szCs w:val="21"/>
        </w:rPr>
        <w:t>投资者签字：</w:t>
      </w:r>
    </w:p>
    <w:p w14:paraId="7BBD80B9">
      <w:pPr>
        <w:rPr>
          <w:rFonts w:hint="eastAsia" w:ascii="宋体" w:hAnsi="宋体" w:eastAsia="宋体"/>
          <w:szCs w:val="21"/>
        </w:rPr>
      </w:pPr>
    </w:p>
    <w:p w14:paraId="300038E3">
      <w:pPr>
        <w:rPr>
          <w:rFonts w:hint="eastAsia" w:ascii="宋体" w:hAnsi="宋体" w:eastAsia="宋体"/>
          <w:szCs w:val="21"/>
        </w:rPr>
      </w:pPr>
    </w:p>
    <w:p w14:paraId="3EDC98C4">
      <w:pPr>
        <w:rPr>
          <w:rFonts w:hint="eastAsia" w:ascii="宋体" w:hAnsi="宋体" w:eastAsia="宋体"/>
          <w:szCs w:val="21"/>
        </w:rPr>
      </w:pPr>
    </w:p>
    <w:p w14:paraId="2FDD6DD2">
      <w:pPr>
        <w:rPr>
          <w:rFonts w:hint="eastAsia" w:ascii="宋体" w:hAnsi="宋体" w:eastAsia="宋体"/>
          <w:szCs w:val="21"/>
        </w:rPr>
      </w:pPr>
    </w:p>
    <w:p w14:paraId="139323BA">
      <w:pPr>
        <w:rPr>
          <w:rFonts w:hint="eastAsia" w:ascii="宋体" w:hAnsi="宋体" w:eastAsia="宋体"/>
          <w:szCs w:val="21"/>
        </w:rPr>
      </w:pPr>
    </w:p>
    <w:p w14:paraId="40C65909">
      <w:pPr>
        <w:rPr>
          <w:rFonts w:ascii="宋体" w:hAnsi="宋体" w:eastAsia="宋体"/>
          <w:szCs w:val="21"/>
        </w:rPr>
      </w:pPr>
      <w:r>
        <w:rPr>
          <w:rFonts w:ascii="宋体" w:hAnsi="宋体" w:eastAsia="宋体"/>
          <w:szCs w:val="21"/>
        </w:rPr>
        <w:t>日期：</w:t>
      </w:r>
      <w:r>
        <w:rPr>
          <w:rFonts w:hint="eastAsia" w:ascii="宋体" w:hAnsi="宋体" w:eastAsia="宋体"/>
          <w:szCs w:val="21"/>
          <w:lang w:val="en-US" w:eastAsia="zh-CN"/>
        </w:rPr>
        <w:t xml:space="preserve">    </w:t>
      </w:r>
      <w:r>
        <w:rPr>
          <w:rFonts w:ascii="宋体" w:hAnsi="宋体" w:eastAsia="宋体"/>
          <w:szCs w:val="21"/>
        </w:rPr>
        <w:t>年</w:t>
      </w:r>
      <w:r>
        <w:rPr>
          <w:rFonts w:hint="eastAsia" w:ascii="宋体" w:hAnsi="宋体" w:eastAsia="宋体"/>
          <w:szCs w:val="21"/>
          <w:lang w:val="en-US" w:eastAsia="zh-CN"/>
        </w:rPr>
        <w:t xml:space="preserve">    </w:t>
      </w:r>
      <w:r>
        <w:rPr>
          <w:rFonts w:ascii="宋体" w:hAnsi="宋体" w:eastAsia="宋体"/>
          <w:szCs w:val="21"/>
        </w:rPr>
        <w:t>月</w:t>
      </w:r>
      <w:r>
        <w:rPr>
          <w:rFonts w:hint="eastAsia" w:ascii="宋体" w:hAnsi="宋体" w:eastAsia="宋体"/>
          <w:szCs w:val="21"/>
          <w:u w:val="none"/>
          <w:lang w:val="en-US" w:eastAsia="zh-CN"/>
        </w:rPr>
        <w:t xml:space="preserve">    </w:t>
      </w:r>
      <w:r>
        <w:rPr>
          <w:rFonts w:ascii="宋体" w:hAnsi="宋体" w:eastAsia="宋体"/>
          <w:szCs w:val="21"/>
        </w:rPr>
        <w:t>日</w:t>
      </w:r>
    </w:p>
    <w:p w14:paraId="73F19BCD">
      <w:pPr>
        <w:numPr>
          <w:ilvl w:val="0"/>
          <w:numId w:val="0"/>
        </w:numPr>
        <w:bidi w:val="0"/>
        <w:jc w:val="left"/>
        <w:rPr>
          <w:rFonts w:hint="default" w:ascii="仿宋_GB2312" w:hAnsi="宋体" w:eastAsia="仿宋_GB2312" w:cs="仿宋_GB2312"/>
          <w:b w:val="0"/>
          <w:bCs w:val="0"/>
          <w:color w:val="000000"/>
          <w:sz w:val="20"/>
          <w:szCs w:val="20"/>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A45173A"/>
    <w:multiLevelType w:val="singleLevel"/>
    <w:tmpl w:val="4A45173A"/>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5A64BA4"/>
    <w:rsid w:val="01DD263A"/>
    <w:rsid w:val="1BAA1737"/>
    <w:rsid w:val="2E1C2825"/>
    <w:rsid w:val="2F987BDD"/>
    <w:rsid w:val="44694862"/>
    <w:rsid w:val="4E125793"/>
    <w:rsid w:val="55E85B51"/>
    <w:rsid w:val="65A64BA4"/>
    <w:rsid w:val="78571C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
    <w:name w:val="Hyperlink"/>
    <w:basedOn w:val="4"/>
    <w:unhideWhenUsed/>
    <w:qFormat/>
    <w:uiPriority w:val="99"/>
    <w:rPr>
      <w:color w:val="0026E5" w:themeColor="hyperlink"/>
      <w:u w:val="single"/>
      <w14:textFill>
        <w14:solidFill>
          <w14:schemeClr w14:val="hlink"/>
        </w14:solidFill>
      </w14:textFill>
    </w:rPr>
  </w:style>
  <w:style w:type="paragraph" w:styleId="6">
    <w:name w:val="List Paragraph"/>
    <w:basedOn w:val="1"/>
    <w:qFormat/>
    <w:uiPriority w:val="34"/>
    <w:pPr>
      <w:ind w:firstLine="420" w:firstLineChars="200"/>
    </w:pPr>
  </w:style>
  <w:style w:type="paragraph" w:customStyle="1" w:styleId="7">
    <w:name w:val="Default"/>
    <w:qFormat/>
    <w:uiPriority w:val="0"/>
    <w:pPr>
      <w:widowControl w:val="0"/>
      <w:autoSpaceDE w:val="0"/>
      <w:autoSpaceDN w:val="0"/>
      <w:jc w:val="both"/>
    </w:pPr>
    <w:rPr>
      <w:rFonts w:hint="eastAsia" w:ascii="宋体" w:hAnsi="Times New Roman" w:eastAsia="宋体" w:cs="Times New Roman"/>
      <w:color w:val="000000"/>
      <w:sz w:val="24"/>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21</Pages>
  <Words>24662</Words>
  <Characters>25231</Characters>
  <Lines>0</Lines>
  <Paragraphs>0</Paragraphs>
  <TotalTime>2</TotalTime>
  <ScaleCrop>false</ScaleCrop>
  <LinksUpToDate>false</LinksUpToDate>
  <CharactersWithSpaces>25493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2026-08-20T02:07:00Z</dcterms:created>
  <dc:creator>于菁楠</dc:creator>
  <cp:lastModifiedBy>于菁楠</cp:lastModifiedBy>
  <dcterms:modified xsi:type="dcterms:W3CDTF">2026-08-31T03:00:05Z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885F4DFEAF2447B591E3B366959D0CE0_13</vt:lpwstr>
  </property>
  <property fmtid="{D5CDD505-2E9C-101B-9397-08002B2CF9AE}" pid="4" name="KSOTemplateDocerSaveRecord">
    <vt:lpwstr>eyJoZGlkIjoiOTMzM2U2MzMzOWIwYzBhZTc3YTIxMGM0MTE2NmVlYWQiLCJ1c2VySWQiOiIxMTI1NTQyOTMxIn0=</vt:lpwstr>
  </property>
</Properties>
</file>