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大连农商银行“金浪花”系列净值型理财产品净值公告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（2026年9月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b/>
          <w:sz w:val="28"/>
          <w:szCs w:val="28"/>
        </w:rPr>
        <w:t>日净值）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大连农商银行“金浪花”系列净值型理财产品净值公告如下：</w:t>
      </w:r>
    </w:p>
    <w:tbl>
      <w:tblPr>
        <w:tblStyle w:val="5"/>
        <w:tblW w:w="1000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559"/>
        <w:gridCol w:w="1701"/>
        <w:gridCol w:w="19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1.053923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1.053923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137,009,961.69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1.031449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1.031449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464,152,164.61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1.074448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1.074448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214,889,558.51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1.068597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1.068597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474,510,331.21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“金浪花”2026年19期净值型人民币理财产品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1.052556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1.052556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124,843,687.10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1.053828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1.053828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326,844,718.33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1.075525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1.075525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289,079,597.27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1.054725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1.054725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158,208,797.18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1.027172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1.027172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410,786,593.62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1.04727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209,453,947.88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1.035654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1.035654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155,348,148.00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1.03942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1.03942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145,518,826.57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1.051965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1.051965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157,447,532.80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1.054149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1.054149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168,663,801.57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1.041737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1.041737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364,608,039.28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1.040138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1.040138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135,217,906.45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1.031339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1.031339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175,327,613.06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1.049093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1.049093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252,233,499.95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1.038529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1.038529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405,026,229.78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1.034812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1.034812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98,307,152.55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1.052286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1.052286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189,411,454.57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“金浪花”2026年39期净值型人民币理财产品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1.060277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1.060277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275,672,072.46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“金浪花”2026年40期净值型人民币理财产品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1.015256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1.015256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350,334,232.57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“金浪花”2026年41期净值型人民币理财产品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1.046899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1.046899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177,972,798.74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</w:t>
            </w: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1.00003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1.00003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110,003,351.50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“金浪花”月月开1号人民币理财产品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1.122938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1.122938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302,231,058.06</w:t>
            </w:r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bookmarkStart w:id="0" w:name="_GoBack"/>
      <w:bookmarkEnd w:id="0"/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08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4ED86EC7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5D3989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14298B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default" w:ascii="Courier New" w:hAnsi="Courier New" w:cs="Courier New"/>
      <w:color w:val="000000"/>
      <w:sz w:val="20"/>
      <w:szCs w:val="20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7E9889-8F94-4443-A307-465663A20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1278</Characters>
  <Lines>10</Lines>
  <Paragraphs>2</Paragraphs>
  <TotalTime>0</TotalTime>
  <ScaleCrop>false</ScaleCrop>
  <LinksUpToDate>false</LinksUpToDate>
  <CharactersWithSpaces>1500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2026-09-17T01:25:00Z</dcterms:created>
  <dc:creator>lenovo</dc:creator>
  <cp:lastModifiedBy>寺儿沟虾怪</cp:lastModifiedBy>
  <dcterms:modified xsi:type="dcterms:W3CDTF">2026-10-08T02:41:00Z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6A4E512FD6624F59905F3515262C73E9_13</vt:lpwstr>
  </property>
  <property fmtid="{D5CDD505-2E9C-101B-9397-08002B2CF9AE}" pid="4" name="KSOTemplateDocerSaveRecord">
    <vt:lpwstr>eyJoZGlkIjoiOTMzM2U2MzMzOWIwYzBhZTc3YTIxMGM0MTE2NmVlYWQiLCJ1c2VySWQiOiIxMTI1NTQyOTMxIn0=</vt:lpwstr>
  </property>
</Properties>
</file>